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60175" w14:textId="77777777" w:rsidR="00C00F74" w:rsidRDefault="00C101E5">
      <w:pPr>
        <w:tabs>
          <w:tab w:val="center" w:pos="4320"/>
          <w:tab w:val="right" w:pos="8640"/>
        </w:tabs>
        <w:jc w:val="center"/>
        <w:rPr>
          <w:color w:val="000000"/>
        </w:rPr>
      </w:pPr>
      <w:r>
        <w:rPr>
          <w:noProof/>
        </w:rPr>
        <w:drawing>
          <wp:inline distT="0" distB="0" distL="0" distR="0" wp14:anchorId="58148C76" wp14:editId="275D5F8A">
            <wp:extent cx="495300" cy="600075"/>
            <wp:effectExtent l="0" t="0" r="0" b="0"/>
            <wp:docPr id="1" name="image1.png"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PanevezioHerbas"/>
                    <pic:cNvPicPr>
                      <a:picLocks noChangeAspect="1" noChangeArrowheads="1"/>
                    </pic:cNvPicPr>
                  </pic:nvPicPr>
                  <pic:blipFill>
                    <a:blip r:embed="rId8"/>
                    <a:stretch>
                      <a:fillRect/>
                    </a:stretch>
                  </pic:blipFill>
                  <pic:spPr bwMode="auto">
                    <a:xfrm>
                      <a:off x="0" y="0"/>
                      <a:ext cx="495300" cy="600075"/>
                    </a:xfrm>
                    <a:prstGeom prst="rect">
                      <a:avLst/>
                    </a:prstGeom>
                  </pic:spPr>
                </pic:pic>
              </a:graphicData>
            </a:graphic>
          </wp:inline>
        </w:drawing>
      </w:r>
    </w:p>
    <w:p w14:paraId="23D2C4BD" w14:textId="77777777" w:rsidR="00C00F74" w:rsidRDefault="00C00F74">
      <w:pPr>
        <w:jc w:val="center"/>
        <w:rPr>
          <w:color w:val="000000"/>
        </w:rPr>
      </w:pPr>
    </w:p>
    <w:p w14:paraId="67D25B54" w14:textId="77777777" w:rsidR="00C00F74" w:rsidRDefault="00C101E5">
      <w:pPr>
        <w:jc w:val="center"/>
        <w:rPr>
          <w:b/>
          <w:color w:val="000000"/>
          <w:sz w:val="28"/>
          <w:szCs w:val="28"/>
        </w:rPr>
      </w:pPr>
      <w:r>
        <w:rPr>
          <w:b/>
          <w:color w:val="000000"/>
          <w:sz w:val="28"/>
          <w:szCs w:val="28"/>
        </w:rPr>
        <w:t>PANEVĖŽIO MIESTO SAVIVALDYBĖS TARYBA</w:t>
      </w:r>
    </w:p>
    <w:p w14:paraId="0C068919" w14:textId="77777777" w:rsidR="00C00F74" w:rsidRDefault="00C00F74">
      <w:pPr>
        <w:keepNext/>
        <w:jc w:val="center"/>
        <w:rPr>
          <w:color w:val="000000"/>
        </w:rPr>
      </w:pPr>
    </w:p>
    <w:p w14:paraId="71C646EA" w14:textId="77777777" w:rsidR="00C00F74" w:rsidRDefault="00C101E5">
      <w:pPr>
        <w:keepNext/>
        <w:jc w:val="center"/>
        <w:rPr>
          <w:b/>
          <w:color w:val="000000"/>
        </w:rPr>
      </w:pPr>
      <w:r>
        <w:rPr>
          <w:b/>
          <w:color w:val="000000"/>
        </w:rPr>
        <w:t>SPRENDIMAS</w:t>
      </w:r>
    </w:p>
    <w:p w14:paraId="5E9B801C" w14:textId="0A99918D" w:rsidR="00C00F74" w:rsidRDefault="00C101E5">
      <w:pPr>
        <w:jc w:val="center"/>
        <w:rPr>
          <w:b/>
        </w:rPr>
      </w:pPr>
      <w:r>
        <w:rPr>
          <w:b/>
        </w:rPr>
        <w:t>DĖL ATLYGINIMO UŽ PANEVĖŽIO MIESTO SAVIVALDYBĖS NEFORMALIOJO VAIKŲ ŠVIETIMO ĮSTAIGOSE IR PANEVĖŽIO ŠVIETIMO CENTRO PADALINIUOSE-SKYRIUOSE TEIKIAMĄ NEFORMALŲJĮ ŠVIETIMĄ DYDŽIO NUSTATYMO IR TVARKOS APRAŠO PATVIRTINIMO, SAVIVALDYBĖS TARYBOS 2023 M. BIRŽELIO 22 D. SPRENDIMO NR. 1-207 PRIPAŽINIMO NETEKUSIU GALIOS</w:t>
      </w:r>
    </w:p>
    <w:p w14:paraId="0E8E8AD1" w14:textId="77777777" w:rsidR="00C00F74" w:rsidRDefault="00C00F74">
      <w:pPr>
        <w:jc w:val="center"/>
        <w:rPr>
          <w:color w:val="000000"/>
          <w:szCs w:val="24"/>
        </w:rPr>
      </w:pPr>
    </w:p>
    <w:p w14:paraId="0D7022D6" w14:textId="4AEC5621" w:rsidR="00C00F74" w:rsidRDefault="00E50C61">
      <w:pPr>
        <w:jc w:val="center"/>
        <w:rPr>
          <w:szCs w:val="24"/>
        </w:rPr>
      </w:pPr>
      <w:r>
        <w:t>2025 m. gegužės 29 d.</w:t>
      </w:r>
      <w:r w:rsidR="00C101E5">
        <w:rPr>
          <w:szCs w:val="24"/>
        </w:rPr>
        <w:t xml:space="preserve"> Nr. </w:t>
      </w:r>
      <w:r>
        <w:rPr>
          <w:szCs w:val="24"/>
        </w:rPr>
        <w:t>1-161</w:t>
      </w:r>
    </w:p>
    <w:p w14:paraId="21F513FB" w14:textId="77777777" w:rsidR="00C00F74" w:rsidRDefault="00C101E5">
      <w:pPr>
        <w:keepNext/>
        <w:jc w:val="center"/>
        <w:outlineLvl w:val="2"/>
        <w:rPr>
          <w:b/>
          <w:szCs w:val="24"/>
        </w:rPr>
      </w:pPr>
      <w:r>
        <w:rPr>
          <w:szCs w:val="24"/>
        </w:rPr>
        <w:t>Panevėžys</w:t>
      </w:r>
    </w:p>
    <w:p w14:paraId="520C4C6A" w14:textId="77777777" w:rsidR="00C00F74" w:rsidRDefault="00C00F74">
      <w:pPr>
        <w:jc w:val="center"/>
        <w:rPr>
          <w:color w:val="000000"/>
          <w:szCs w:val="24"/>
        </w:rPr>
      </w:pPr>
    </w:p>
    <w:p w14:paraId="3CDC5C3E" w14:textId="77777777" w:rsidR="00C00F74" w:rsidRDefault="00C101E5">
      <w:pPr>
        <w:spacing w:line="360" w:lineRule="auto"/>
        <w:ind w:firstLine="709"/>
        <w:rPr>
          <w:color w:val="000000"/>
          <w:szCs w:val="24"/>
        </w:rPr>
      </w:pPr>
      <w:r>
        <w:rPr>
          <w:szCs w:val="24"/>
        </w:rPr>
        <w:t xml:space="preserve">Vadovaudamasi Lietuvos Respublikos vietos savivaldos įstatymo 15 straipsnio 2 dalies 29 punktu, </w:t>
      </w:r>
      <w:r>
        <w:rPr>
          <w:color w:val="000000"/>
          <w:szCs w:val="24"/>
        </w:rPr>
        <w:t xml:space="preserve">Lietuvos Respublikos švietimo įstatymo 70 straipsnio 9 dalimi, Panevėžio miesto savivaldybės tarybos 2023 m. balandžio 20 d. sprendimo Nr. 1-103 „Dėl Panevėžio miesto savivaldybės tarybos veiklos reglamento patvirtinimo ir Savivaldybės tarybos 2015 m. kovo 26 d. sprendimo Nr. 1-44 pripažinimo netekusiu galios“, 189 punktu, Panevėžio miesto savivaldybės taryba n u s p r e n d ž i a: </w:t>
      </w:r>
    </w:p>
    <w:p w14:paraId="6CCB9947" w14:textId="77777777" w:rsidR="00C00F74" w:rsidRDefault="00C101E5">
      <w:pPr>
        <w:pStyle w:val="Sraopastraipa"/>
        <w:numPr>
          <w:ilvl w:val="0"/>
          <w:numId w:val="2"/>
        </w:numPr>
        <w:tabs>
          <w:tab w:val="left" w:pos="993"/>
        </w:tabs>
        <w:spacing w:line="360" w:lineRule="auto"/>
        <w:ind w:left="0" w:firstLine="709"/>
        <w:rPr>
          <w:color w:val="000000"/>
        </w:rPr>
      </w:pPr>
      <w:r>
        <w:rPr>
          <w:color w:val="000000"/>
          <w:spacing w:val="40"/>
          <w:szCs w:val="24"/>
        </w:rPr>
        <w:t>Nustatyti</w:t>
      </w:r>
      <w:r>
        <w:rPr>
          <w:color w:val="000000"/>
          <w:szCs w:val="24"/>
        </w:rPr>
        <w:t xml:space="preserve"> </w:t>
      </w:r>
      <w:r>
        <w:rPr>
          <w:color w:val="000000"/>
        </w:rPr>
        <w:t xml:space="preserve">atlyginimo dydį už </w:t>
      </w:r>
      <w:bookmarkStart w:id="0" w:name="_Hlk194571336"/>
      <w:r>
        <w:rPr>
          <w:color w:val="000000"/>
        </w:rPr>
        <w:t xml:space="preserve">Panevėžio miesto savivaldybės neformaliojo </w:t>
      </w:r>
      <w:bookmarkEnd w:id="0"/>
      <w:r>
        <w:rPr>
          <w:color w:val="000000"/>
        </w:rPr>
        <w:t>vaikų švietimo įstaigose ir Panevėžio švietimo centro padaliniuose-skyriuose teikiamą neformalųjį švietimą pagal sąrašą (priedas).</w:t>
      </w:r>
    </w:p>
    <w:p w14:paraId="59C42211" w14:textId="77777777" w:rsidR="00C00F74" w:rsidRDefault="00C101E5">
      <w:pPr>
        <w:pStyle w:val="Sraopastraipa"/>
        <w:numPr>
          <w:ilvl w:val="0"/>
          <w:numId w:val="2"/>
        </w:numPr>
        <w:tabs>
          <w:tab w:val="left" w:pos="993"/>
        </w:tabs>
        <w:spacing w:line="360" w:lineRule="auto"/>
        <w:ind w:left="0" w:firstLine="709"/>
        <w:rPr>
          <w:color w:val="000000"/>
          <w:szCs w:val="24"/>
        </w:rPr>
      </w:pPr>
      <w:r>
        <w:rPr>
          <w:color w:val="000000"/>
          <w:spacing w:val="40"/>
          <w:szCs w:val="24"/>
        </w:rPr>
        <w:t>Patvirtinti</w:t>
      </w:r>
      <w:r>
        <w:rPr>
          <w:color w:val="000000"/>
        </w:rPr>
        <w:t xml:space="preserve"> Atlyginimo </w:t>
      </w:r>
      <w:r>
        <w:rPr>
          <w:color w:val="000000"/>
          <w:szCs w:val="24"/>
        </w:rPr>
        <w:t xml:space="preserve">už Panevėžio miesto savivaldybės neformaliojo vaikų švietimo įstaigose ir </w:t>
      </w:r>
      <w:r>
        <w:rPr>
          <w:color w:val="000000"/>
        </w:rPr>
        <w:t xml:space="preserve">Panevėžio švietimo centro padaliniuose-skyriuose </w:t>
      </w:r>
      <w:r>
        <w:rPr>
          <w:color w:val="000000"/>
          <w:szCs w:val="24"/>
        </w:rPr>
        <w:t>teikiamas neformaliojo švietimo paslaugas mokėjimo tvarkos aprašą (pridedama).</w:t>
      </w:r>
    </w:p>
    <w:p w14:paraId="545BC7F5" w14:textId="77777777" w:rsidR="00C00F74" w:rsidRDefault="00C101E5">
      <w:pPr>
        <w:pStyle w:val="Sraopastraipa"/>
        <w:numPr>
          <w:ilvl w:val="0"/>
          <w:numId w:val="2"/>
        </w:numPr>
        <w:tabs>
          <w:tab w:val="left" w:pos="993"/>
        </w:tabs>
        <w:spacing w:line="360" w:lineRule="auto"/>
        <w:ind w:left="0" w:firstLine="709"/>
      </w:pPr>
      <w:r>
        <w:rPr>
          <w:color w:val="000000"/>
          <w:spacing w:val="40"/>
          <w:szCs w:val="24"/>
        </w:rPr>
        <w:t>Pripažinti</w:t>
      </w:r>
      <w:r>
        <w:rPr>
          <w:color w:val="000000"/>
        </w:rPr>
        <w:t xml:space="preserve"> netekusiu galios Panevėžio miesto savivaldybės tarybos 2023 m. birželio 22 d.</w:t>
      </w:r>
      <w:r>
        <w:t xml:space="preserve"> </w:t>
      </w:r>
      <w:r>
        <w:rPr>
          <w:color w:val="000000"/>
        </w:rPr>
        <w:t xml:space="preserve">sprendimą Nr. 1-207 „Dėl Panevėžio miesto savivaldybės neformaliojo vaikų švietimo, formalųjį švietimą papildančio ugdymo ir neformaliojo suaugusiųjų švietimo ugdymo įstaigų organizavimo tvarkos aprašo patvirtinimo ir Savivaldybės tarybos 2022 m. kovo 31 d. sprendimo </w:t>
      </w:r>
      <w:r>
        <w:rPr>
          <w:color w:val="000000"/>
        </w:rPr>
        <w:br/>
        <w:t>Nr. 1-93 pripažinimo netekusiu galios“ su visais vėlesniais pakeitimais.</w:t>
      </w:r>
    </w:p>
    <w:p w14:paraId="6012DD6A" w14:textId="77777777" w:rsidR="00C00F74" w:rsidRDefault="00C101E5">
      <w:pPr>
        <w:pStyle w:val="Sraopastraipa"/>
        <w:numPr>
          <w:ilvl w:val="0"/>
          <w:numId w:val="2"/>
        </w:numPr>
        <w:tabs>
          <w:tab w:val="left" w:pos="993"/>
        </w:tabs>
        <w:spacing w:line="360" w:lineRule="auto"/>
        <w:ind w:left="0" w:firstLine="709"/>
      </w:pPr>
      <w:r>
        <w:rPr>
          <w:color w:val="000000"/>
          <w:spacing w:val="40"/>
          <w:szCs w:val="24"/>
        </w:rPr>
        <w:t>Nustatyti</w:t>
      </w:r>
      <w:r>
        <w:t>, kad sprendimas:</w:t>
      </w:r>
    </w:p>
    <w:p w14:paraId="4EC51C6D" w14:textId="77777777" w:rsidR="00C00F74" w:rsidRDefault="00C101E5">
      <w:pPr>
        <w:pStyle w:val="Sraopastraipa"/>
        <w:numPr>
          <w:ilvl w:val="1"/>
          <w:numId w:val="2"/>
        </w:numPr>
        <w:tabs>
          <w:tab w:val="left" w:pos="1134"/>
        </w:tabs>
        <w:spacing w:line="360" w:lineRule="auto"/>
        <w:ind w:left="0" w:firstLine="709"/>
      </w:pPr>
      <w:r>
        <w:t>skelbiamas Teisės aktų registre ir Savivaldybės interneto svetainėje;</w:t>
      </w:r>
    </w:p>
    <w:p w14:paraId="7AE0512B" w14:textId="77777777" w:rsidR="00C00F74" w:rsidRDefault="00C101E5">
      <w:pPr>
        <w:pStyle w:val="Sraopastraipa"/>
        <w:numPr>
          <w:ilvl w:val="1"/>
          <w:numId w:val="2"/>
        </w:numPr>
        <w:tabs>
          <w:tab w:val="left" w:pos="1134"/>
        </w:tabs>
        <w:spacing w:line="360" w:lineRule="auto"/>
        <w:ind w:left="0" w:firstLine="709"/>
      </w:pPr>
      <w:r>
        <w:t>įsigalioja 2025 m. rugsėjo 1 d.</w:t>
      </w:r>
    </w:p>
    <w:p w14:paraId="0A96DB15" w14:textId="77777777" w:rsidR="00C00F74" w:rsidRDefault="00C00F74">
      <w:pPr>
        <w:tabs>
          <w:tab w:val="left" w:pos="5385"/>
        </w:tabs>
      </w:pPr>
    </w:p>
    <w:p w14:paraId="585F5CDD" w14:textId="77777777" w:rsidR="00C00F74" w:rsidRDefault="00C00F74">
      <w:pPr>
        <w:tabs>
          <w:tab w:val="left" w:pos="5385"/>
        </w:tabs>
      </w:pPr>
    </w:p>
    <w:p w14:paraId="3E7C2D79" w14:textId="77777777" w:rsidR="00C00F74" w:rsidRDefault="00C101E5">
      <w:pPr>
        <w:tabs>
          <w:tab w:val="left" w:pos="993"/>
          <w:tab w:val="left" w:pos="1134"/>
        </w:tabs>
        <w:ind w:left="851" w:hanging="851"/>
        <w:rPr>
          <w:szCs w:val="24"/>
          <w:lang w:eastAsia="lt-LT"/>
        </w:rPr>
      </w:pPr>
      <w:r>
        <w:rPr>
          <w:szCs w:val="24"/>
          <w:lang w:eastAsia="lt-LT"/>
        </w:rPr>
        <w:t>Savivaldybės merė</w:t>
      </w:r>
      <w:r>
        <w:rPr>
          <w:szCs w:val="24"/>
          <w:lang w:eastAsia="lt-LT"/>
        </w:rPr>
        <w:tab/>
      </w:r>
      <w:r>
        <w:rPr>
          <w:szCs w:val="24"/>
          <w:lang w:eastAsia="lt-LT"/>
        </w:rPr>
        <w:tab/>
      </w:r>
      <w:r>
        <w:rPr>
          <w:szCs w:val="24"/>
          <w:lang w:eastAsia="lt-LT"/>
        </w:rPr>
        <w:tab/>
      </w:r>
      <w:r>
        <w:rPr>
          <w:szCs w:val="24"/>
          <w:lang w:eastAsia="lt-LT"/>
        </w:rPr>
        <w:tab/>
        <w:t xml:space="preserve">                Loreta Masiliūnienė</w:t>
      </w:r>
    </w:p>
    <w:p w14:paraId="3CE95DB7" w14:textId="77777777" w:rsidR="00C00F74" w:rsidRDefault="00C101E5">
      <w:pPr>
        <w:tabs>
          <w:tab w:val="left" w:pos="993"/>
          <w:tab w:val="left" w:pos="1134"/>
        </w:tabs>
        <w:spacing w:after="160" w:line="259" w:lineRule="auto"/>
        <w:ind w:left="6238" w:hanging="851"/>
        <w:jc w:val="left"/>
      </w:pPr>
      <w:r>
        <w:br w:type="page"/>
      </w:r>
    </w:p>
    <w:p w14:paraId="5FBCF864" w14:textId="77777777" w:rsidR="00C00F74" w:rsidRDefault="00C101E5">
      <w:pPr>
        <w:ind w:left="5387"/>
        <w:jc w:val="left"/>
      </w:pPr>
      <w:r>
        <w:lastRenderedPageBreak/>
        <w:t>Panevėžio miesto savivaldybės tarybos</w:t>
      </w:r>
    </w:p>
    <w:p w14:paraId="6F91F608" w14:textId="471AA3F5" w:rsidR="00C00F74" w:rsidRDefault="00E50C61" w:rsidP="00E50C61">
      <w:pPr>
        <w:ind w:left="6946" w:hanging="1559"/>
        <w:jc w:val="left"/>
      </w:pPr>
      <w:r>
        <w:t xml:space="preserve">2025 m. gegužės 29 d. </w:t>
      </w:r>
      <w:r w:rsidR="00C101E5">
        <w:t>sprendimo Nr.</w:t>
      </w:r>
      <w:r>
        <w:t xml:space="preserve"> 1-161</w:t>
      </w:r>
      <w:r w:rsidR="00C101E5">
        <w:t xml:space="preserve"> </w:t>
      </w:r>
    </w:p>
    <w:p w14:paraId="4D988BB7" w14:textId="77777777" w:rsidR="00C00F74" w:rsidRDefault="00C101E5">
      <w:pPr>
        <w:ind w:left="6683" w:hanging="1296"/>
        <w:jc w:val="left"/>
      </w:pPr>
      <w:r>
        <w:t>priedas</w:t>
      </w:r>
    </w:p>
    <w:p w14:paraId="7034BA3A" w14:textId="77777777" w:rsidR="00C00F74" w:rsidRDefault="00C00F74"/>
    <w:p w14:paraId="31D93F9A" w14:textId="77777777" w:rsidR="00C00F74" w:rsidRDefault="00C101E5">
      <w:pPr>
        <w:jc w:val="center"/>
        <w:rPr>
          <w:b/>
          <w:bCs/>
        </w:rPr>
      </w:pPr>
      <w:r>
        <w:rPr>
          <w:b/>
          <w:bCs/>
        </w:rPr>
        <w:t>ATLYGINIMO UŽ PANEVĖŽIO MIESTO SAVIVALDYBĖS NEFORMALIOJO VAIKŲ ŠVIETIMO ISTAIGOSE IR PANEVĖŽIO ŠVIETIMO CENTRO PADALINIUOSE-SKYRIUOSE TEIKIAMĄ NEFORMALŲJĮ ŠVIETIMĄ DYDŽIŲ SĄRAŠAS</w:t>
      </w:r>
    </w:p>
    <w:p w14:paraId="7669CC96" w14:textId="77777777" w:rsidR="00C00F74" w:rsidRDefault="00C00F74"/>
    <w:tbl>
      <w:tblPr>
        <w:tblStyle w:val="Lentelstinklelis"/>
        <w:tblW w:w="10627" w:type="dxa"/>
        <w:tblInd w:w="-998" w:type="dxa"/>
        <w:tblLayout w:type="fixed"/>
        <w:tblLook w:val="04A0" w:firstRow="1" w:lastRow="0" w:firstColumn="1" w:lastColumn="0" w:noHBand="0" w:noVBand="1"/>
      </w:tblPr>
      <w:tblGrid>
        <w:gridCol w:w="575"/>
        <w:gridCol w:w="2828"/>
        <w:gridCol w:w="5813"/>
        <w:gridCol w:w="1411"/>
      </w:tblGrid>
      <w:tr w:rsidR="00C00F74" w14:paraId="547DE43B" w14:textId="77777777">
        <w:trPr>
          <w:trHeight w:val="240"/>
        </w:trPr>
        <w:tc>
          <w:tcPr>
            <w:tcW w:w="575" w:type="dxa"/>
            <w:vAlign w:val="center"/>
          </w:tcPr>
          <w:p w14:paraId="53DA87EF" w14:textId="77777777" w:rsidR="00C00F74" w:rsidRDefault="00C101E5">
            <w:pPr>
              <w:jc w:val="center"/>
              <w:rPr>
                <w:sz w:val="20"/>
                <w:szCs w:val="20"/>
              </w:rPr>
            </w:pPr>
            <w:r>
              <w:rPr>
                <w:rFonts w:eastAsia="Calibri"/>
                <w:b/>
                <w:bCs/>
                <w:sz w:val="20"/>
                <w:szCs w:val="20"/>
              </w:rPr>
              <w:t>Eil. Nr.</w:t>
            </w:r>
          </w:p>
        </w:tc>
        <w:tc>
          <w:tcPr>
            <w:tcW w:w="2828" w:type="dxa"/>
            <w:vAlign w:val="center"/>
          </w:tcPr>
          <w:p w14:paraId="019DB5F8" w14:textId="77777777" w:rsidR="00C00F74" w:rsidRDefault="00C101E5">
            <w:pPr>
              <w:jc w:val="center"/>
              <w:rPr>
                <w:b/>
                <w:bCs/>
                <w:sz w:val="20"/>
                <w:szCs w:val="20"/>
              </w:rPr>
            </w:pPr>
            <w:r>
              <w:rPr>
                <w:rFonts w:eastAsia="Calibri"/>
                <w:b/>
                <w:bCs/>
                <w:sz w:val="20"/>
                <w:szCs w:val="20"/>
              </w:rPr>
              <w:t>Mokyklos pavadinimas</w:t>
            </w:r>
          </w:p>
        </w:tc>
        <w:tc>
          <w:tcPr>
            <w:tcW w:w="5812" w:type="dxa"/>
            <w:vAlign w:val="center"/>
          </w:tcPr>
          <w:p w14:paraId="1A5A8BEA" w14:textId="77777777" w:rsidR="00C00F74" w:rsidRDefault="00C101E5">
            <w:pPr>
              <w:jc w:val="center"/>
              <w:rPr>
                <w:sz w:val="20"/>
                <w:szCs w:val="20"/>
              </w:rPr>
            </w:pPr>
            <w:r>
              <w:rPr>
                <w:rFonts w:eastAsia="Calibri"/>
                <w:b/>
                <w:bCs/>
                <w:sz w:val="20"/>
                <w:szCs w:val="20"/>
              </w:rPr>
              <w:t>Neformaliojo švietimo programos, veiklos pavadinimas</w:t>
            </w:r>
          </w:p>
        </w:tc>
        <w:tc>
          <w:tcPr>
            <w:tcW w:w="1411" w:type="dxa"/>
            <w:vAlign w:val="center"/>
          </w:tcPr>
          <w:p w14:paraId="1EB658EB" w14:textId="77777777" w:rsidR="00C00F74" w:rsidRDefault="00C101E5">
            <w:pPr>
              <w:jc w:val="center"/>
              <w:rPr>
                <w:sz w:val="20"/>
                <w:szCs w:val="20"/>
              </w:rPr>
            </w:pPr>
            <w:r>
              <w:rPr>
                <w:rFonts w:eastAsia="Calibri"/>
                <w:b/>
                <w:bCs/>
                <w:sz w:val="20"/>
                <w:szCs w:val="20"/>
              </w:rPr>
              <w:t>Atlyginimas už 1 mėn. proc. nuo MMA</w:t>
            </w:r>
          </w:p>
        </w:tc>
      </w:tr>
      <w:tr w:rsidR="00C00F74" w14:paraId="12238545" w14:textId="77777777">
        <w:trPr>
          <w:trHeight w:val="465"/>
        </w:trPr>
        <w:tc>
          <w:tcPr>
            <w:tcW w:w="10626" w:type="dxa"/>
            <w:gridSpan w:val="4"/>
            <w:vAlign w:val="center"/>
          </w:tcPr>
          <w:p w14:paraId="7CA99E1C" w14:textId="77777777" w:rsidR="00C00F74" w:rsidRDefault="00C101E5">
            <w:pPr>
              <w:jc w:val="center"/>
              <w:rPr>
                <w:b/>
                <w:bCs/>
                <w:sz w:val="20"/>
                <w:szCs w:val="20"/>
              </w:rPr>
            </w:pPr>
            <w:r>
              <w:rPr>
                <w:rFonts w:eastAsia="Calibri"/>
                <w:b/>
                <w:bCs/>
                <w:sz w:val="20"/>
                <w:szCs w:val="20"/>
              </w:rPr>
              <w:t xml:space="preserve">Formalųjį švietimą papildančio ugdymo programos </w:t>
            </w:r>
          </w:p>
        </w:tc>
      </w:tr>
      <w:tr w:rsidR="00C00F74" w14:paraId="7C26B484" w14:textId="77777777">
        <w:trPr>
          <w:trHeight w:val="220"/>
        </w:trPr>
        <w:tc>
          <w:tcPr>
            <w:tcW w:w="575" w:type="dxa"/>
            <w:vAlign w:val="center"/>
          </w:tcPr>
          <w:p w14:paraId="77BC6D86" w14:textId="77777777" w:rsidR="00C00F74" w:rsidRDefault="00C101E5">
            <w:pPr>
              <w:jc w:val="center"/>
              <w:rPr>
                <w:sz w:val="20"/>
                <w:szCs w:val="20"/>
              </w:rPr>
            </w:pPr>
            <w:r>
              <w:rPr>
                <w:rFonts w:eastAsia="Calibri"/>
                <w:sz w:val="20"/>
                <w:szCs w:val="20"/>
              </w:rPr>
              <w:t>1.</w:t>
            </w:r>
          </w:p>
        </w:tc>
        <w:tc>
          <w:tcPr>
            <w:tcW w:w="2828" w:type="dxa"/>
          </w:tcPr>
          <w:p w14:paraId="12C29622" w14:textId="77777777" w:rsidR="00C00F74" w:rsidRDefault="00C101E5">
            <w:pPr>
              <w:jc w:val="left"/>
              <w:rPr>
                <w:sz w:val="20"/>
                <w:szCs w:val="20"/>
              </w:rPr>
            </w:pPr>
            <w:r>
              <w:rPr>
                <w:rFonts w:eastAsia="Calibri"/>
                <w:sz w:val="20"/>
                <w:szCs w:val="20"/>
              </w:rPr>
              <w:t>Panevėžio Broniaus Vaidučio Kutavičiaus muzikos mokykla</w:t>
            </w:r>
          </w:p>
        </w:tc>
        <w:tc>
          <w:tcPr>
            <w:tcW w:w="5812" w:type="dxa"/>
          </w:tcPr>
          <w:p w14:paraId="4E0651EB" w14:textId="77777777" w:rsidR="00C00F74" w:rsidRDefault="00C101E5">
            <w:pPr>
              <w:jc w:val="left"/>
              <w:rPr>
                <w:sz w:val="20"/>
                <w:szCs w:val="20"/>
              </w:rPr>
            </w:pPr>
            <w:r>
              <w:rPr>
                <w:rFonts w:eastAsia="Calibri"/>
                <w:sz w:val="20"/>
                <w:szCs w:val="20"/>
              </w:rPr>
              <w:t>Atlyginimas už vaiko ugdymą pagal pradinio, pagrindinio muzikinio, teatrinio ugdymo programas (su individualiomis pamokomis)</w:t>
            </w:r>
          </w:p>
        </w:tc>
        <w:tc>
          <w:tcPr>
            <w:tcW w:w="1411" w:type="dxa"/>
            <w:vAlign w:val="center"/>
          </w:tcPr>
          <w:p w14:paraId="63818DB8" w14:textId="77777777" w:rsidR="00C00F74" w:rsidRDefault="00C101E5">
            <w:pPr>
              <w:jc w:val="center"/>
              <w:rPr>
                <w:sz w:val="20"/>
                <w:szCs w:val="20"/>
              </w:rPr>
            </w:pPr>
            <w:r>
              <w:rPr>
                <w:rFonts w:eastAsia="Calibri"/>
                <w:sz w:val="20"/>
                <w:szCs w:val="20"/>
              </w:rPr>
              <w:t>3 proc.</w:t>
            </w:r>
          </w:p>
        </w:tc>
      </w:tr>
      <w:tr w:rsidR="00C00F74" w14:paraId="28200562" w14:textId="77777777">
        <w:trPr>
          <w:trHeight w:val="220"/>
        </w:trPr>
        <w:tc>
          <w:tcPr>
            <w:tcW w:w="575" w:type="dxa"/>
            <w:vAlign w:val="center"/>
          </w:tcPr>
          <w:p w14:paraId="73E822A3" w14:textId="77777777" w:rsidR="00C00F74" w:rsidRDefault="00C101E5">
            <w:pPr>
              <w:jc w:val="center"/>
              <w:rPr>
                <w:sz w:val="20"/>
                <w:szCs w:val="20"/>
              </w:rPr>
            </w:pPr>
            <w:r>
              <w:rPr>
                <w:rFonts w:eastAsia="Calibri"/>
                <w:sz w:val="20"/>
                <w:szCs w:val="20"/>
              </w:rPr>
              <w:t>2.</w:t>
            </w:r>
          </w:p>
        </w:tc>
        <w:tc>
          <w:tcPr>
            <w:tcW w:w="2828" w:type="dxa"/>
            <w:vAlign w:val="center"/>
          </w:tcPr>
          <w:p w14:paraId="2B85BCA1" w14:textId="77777777" w:rsidR="00C00F74" w:rsidRDefault="00C101E5">
            <w:pPr>
              <w:jc w:val="left"/>
              <w:rPr>
                <w:sz w:val="20"/>
                <w:szCs w:val="20"/>
              </w:rPr>
            </w:pPr>
            <w:r>
              <w:rPr>
                <w:rFonts w:eastAsia="Calibri"/>
                <w:sz w:val="20"/>
                <w:szCs w:val="20"/>
              </w:rPr>
              <w:t>Panevėžio Broniaus Vaidučio Kutavičiaus muzikos mokykla</w:t>
            </w:r>
          </w:p>
        </w:tc>
        <w:tc>
          <w:tcPr>
            <w:tcW w:w="5812" w:type="dxa"/>
          </w:tcPr>
          <w:p w14:paraId="44A2383E" w14:textId="77777777" w:rsidR="00C00F74" w:rsidRDefault="00C101E5">
            <w:pPr>
              <w:jc w:val="left"/>
              <w:rPr>
                <w:sz w:val="20"/>
                <w:szCs w:val="20"/>
              </w:rPr>
            </w:pPr>
            <w:r>
              <w:rPr>
                <w:rFonts w:eastAsia="Calibri"/>
                <w:sz w:val="20"/>
                <w:szCs w:val="20"/>
              </w:rPr>
              <w:t>Atlyginimas už vaiko ugdymą pagal pradinio, pagrindinio šokio (baleto, lietuvių liaudies šokio, šiuolaikinio šokio) ugdymo programas (be individualių pamokų)</w:t>
            </w:r>
          </w:p>
        </w:tc>
        <w:tc>
          <w:tcPr>
            <w:tcW w:w="1411" w:type="dxa"/>
            <w:vAlign w:val="center"/>
          </w:tcPr>
          <w:p w14:paraId="1E546E81" w14:textId="77777777" w:rsidR="00C00F74" w:rsidRDefault="00C101E5">
            <w:pPr>
              <w:jc w:val="center"/>
              <w:rPr>
                <w:sz w:val="20"/>
                <w:szCs w:val="20"/>
              </w:rPr>
            </w:pPr>
            <w:r>
              <w:rPr>
                <w:rFonts w:eastAsia="Calibri"/>
                <w:sz w:val="20"/>
                <w:szCs w:val="20"/>
              </w:rPr>
              <w:t>2 proc.</w:t>
            </w:r>
          </w:p>
        </w:tc>
      </w:tr>
      <w:tr w:rsidR="00C00F74" w14:paraId="7BB74AA4" w14:textId="77777777">
        <w:trPr>
          <w:trHeight w:val="220"/>
        </w:trPr>
        <w:tc>
          <w:tcPr>
            <w:tcW w:w="575" w:type="dxa"/>
            <w:vAlign w:val="center"/>
          </w:tcPr>
          <w:p w14:paraId="6F7B551E" w14:textId="77777777" w:rsidR="00C00F74" w:rsidRDefault="00C101E5">
            <w:pPr>
              <w:jc w:val="center"/>
              <w:rPr>
                <w:sz w:val="20"/>
                <w:szCs w:val="20"/>
              </w:rPr>
            </w:pPr>
            <w:r>
              <w:rPr>
                <w:rFonts w:eastAsia="Calibri"/>
                <w:sz w:val="20"/>
                <w:szCs w:val="20"/>
              </w:rPr>
              <w:t>3.</w:t>
            </w:r>
          </w:p>
        </w:tc>
        <w:tc>
          <w:tcPr>
            <w:tcW w:w="2828" w:type="dxa"/>
            <w:vAlign w:val="center"/>
          </w:tcPr>
          <w:p w14:paraId="697D5BE7" w14:textId="77777777" w:rsidR="00C00F74" w:rsidRDefault="00C101E5">
            <w:pPr>
              <w:jc w:val="left"/>
              <w:rPr>
                <w:sz w:val="20"/>
                <w:szCs w:val="20"/>
              </w:rPr>
            </w:pPr>
            <w:r>
              <w:rPr>
                <w:rFonts w:eastAsia="Calibri"/>
                <w:sz w:val="20"/>
                <w:szCs w:val="20"/>
              </w:rPr>
              <w:t>Panevėžio dailės mokykla</w:t>
            </w:r>
          </w:p>
        </w:tc>
        <w:tc>
          <w:tcPr>
            <w:tcW w:w="5812" w:type="dxa"/>
            <w:vAlign w:val="center"/>
          </w:tcPr>
          <w:p w14:paraId="093B9E70" w14:textId="77777777" w:rsidR="00C00F74" w:rsidRDefault="00C101E5">
            <w:pPr>
              <w:jc w:val="left"/>
              <w:rPr>
                <w:sz w:val="20"/>
                <w:szCs w:val="20"/>
              </w:rPr>
            </w:pPr>
            <w:r>
              <w:rPr>
                <w:rFonts w:eastAsia="Calibri"/>
                <w:sz w:val="20"/>
                <w:szCs w:val="20"/>
              </w:rPr>
              <w:t>Atlyginimas už vaiko ugdymą pagal kryptingo, pradinio, pagrindinio dailės ugdymo programas</w:t>
            </w:r>
          </w:p>
        </w:tc>
        <w:tc>
          <w:tcPr>
            <w:tcW w:w="1411" w:type="dxa"/>
            <w:vAlign w:val="center"/>
          </w:tcPr>
          <w:p w14:paraId="4F39E948" w14:textId="77777777" w:rsidR="00C00F74" w:rsidRDefault="00C101E5">
            <w:pPr>
              <w:jc w:val="center"/>
              <w:rPr>
                <w:sz w:val="20"/>
                <w:szCs w:val="20"/>
              </w:rPr>
            </w:pPr>
            <w:r>
              <w:rPr>
                <w:rFonts w:eastAsia="Calibri"/>
                <w:sz w:val="20"/>
                <w:szCs w:val="20"/>
              </w:rPr>
              <w:t>2 proc.</w:t>
            </w:r>
          </w:p>
        </w:tc>
      </w:tr>
      <w:tr w:rsidR="00C00F74" w14:paraId="34EF39AF" w14:textId="77777777">
        <w:trPr>
          <w:trHeight w:val="295"/>
        </w:trPr>
        <w:tc>
          <w:tcPr>
            <w:tcW w:w="10626" w:type="dxa"/>
            <w:gridSpan w:val="4"/>
            <w:vAlign w:val="center"/>
          </w:tcPr>
          <w:p w14:paraId="41B76D77" w14:textId="77777777" w:rsidR="00C00F74" w:rsidRDefault="00C101E5">
            <w:pPr>
              <w:jc w:val="center"/>
              <w:rPr>
                <w:b/>
                <w:bCs/>
                <w:sz w:val="20"/>
                <w:szCs w:val="20"/>
              </w:rPr>
            </w:pPr>
            <w:r>
              <w:rPr>
                <w:rFonts w:eastAsia="Calibri"/>
                <w:b/>
                <w:bCs/>
                <w:sz w:val="20"/>
                <w:szCs w:val="20"/>
              </w:rPr>
              <w:t>Neformaliojo vaikų švietimo programos</w:t>
            </w:r>
          </w:p>
        </w:tc>
      </w:tr>
      <w:tr w:rsidR="00C00F74" w14:paraId="5958B7A1" w14:textId="77777777">
        <w:trPr>
          <w:trHeight w:val="265"/>
        </w:trPr>
        <w:tc>
          <w:tcPr>
            <w:tcW w:w="575" w:type="dxa"/>
            <w:vAlign w:val="center"/>
          </w:tcPr>
          <w:p w14:paraId="5884C50A" w14:textId="77777777" w:rsidR="00C00F74" w:rsidRDefault="00C101E5">
            <w:pPr>
              <w:jc w:val="center"/>
              <w:rPr>
                <w:sz w:val="20"/>
                <w:szCs w:val="20"/>
              </w:rPr>
            </w:pPr>
            <w:r>
              <w:rPr>
                <w:rFonts w:eastAsia="Calibri"/>
                <w:sz w:val="20"/>
                <w:szCs w:val="20"/>
              </w:rPr>
              <w:t>4.</w:t>
            </w:r>
          </w:p>
        </w:tc>
        <w:tc>
          <w:tcPr>
            <w:tcW w:w="2828" w:type="dxa"/>
            <w:vAlign w:val="center"/>
          </w:tcPr>
          <w:p w14:paraId="788801FF" w14:textId="77777777" w:rsidR="00C00F74" w:rsidRDefault="00C101E5">
            <w:pPr>
              <w:jc w:val="left"/>
              <w:rPr>
                <w:sz w:val="20"/>
                <w:szCs w:val="20"/>
              </w:rPr>
            </w:pPr>
            <w:r>
              <w:rPr>
                <w:rFonts w:eastAsia="Calibri"/>
                <w:sz w:val="20"/>
                <w:szCs w:val="20"/>
              </w:rPr>
              <w:t>Panevėžio Broniaus Vaidučio Kutavičiaus muzikos mokykla</w:t>
            </w:r>
          </w:p>
        </w:tc>
        <w:tc>
          <w:tcPr>
            <w:tcW w:w="5812" w:type="dxa"/>
          </w:tcPr>
          <w:p w14:paraId="14C18D06" w14:textId="77777777" w:rsidR="00C00F74" w:rsidRDefault="00C101E5">
            <w:pPr>
              <w:rPr>
                <w:sz w:val="20"/>
                <w:szCs w:val="20"/>
              </w:rPr>
            </w:pPr>
            <w:r>
              <w:rPr>
                <w:rFonts w:eastAsia="Calibri"/>
                <w:sz w:val="20"/>
                <w:szCs w:val="20"/>
              </w:rPr>
              <w:t>Atlyginimas už vaiko ugdymą pagal ankstyvojo muzikinio, šokio, teatro ugdymo, parengiamojo šokio (baleto, lietuvių liaudies šokio, šiuolaikinio šokio), teatro ugdymo programas (be individualių pamokų)</w:t>
            </w:r>
          </w:p>
        </w:tc>
        <w:tc>
          <w:tcPr>
            <w:tcW w:w="1411" w:type="dxa"/>
            <w:vAlign w:val="center"/>
          </w:tcPr>
          <w:p w14:paraId="604BDC8B" w14:textId="77777777" w:rsidR="00C00F74" w:rsidRDefault="00C101E5">
            <w:pPr>
              <w:jc w:val="center"/>
              <w:rPr>
                <w:sz w:val="20"/>
                <w:szCs w:val="20"/>
              </w:rPr>
            </w:pPr>
            <w:r>
              <w:rPr>
                <w:rFonts w:eastAsia="Calibri"/>
                <w:sz w:val="20"/>
                <w:szCs w:val="20"/>
              </w:rPr>
              <w:t>2 proc.</w:t>
            </w:r>
          </w:p>
        </w:tc>
      </w:tr>
      <w:tr w:rsidR="00C00F74" w14:paraId="765E2F0A" w14:textId="77777777">
        <w:trPr>
          <w:trHeight w:val="265"/>
        </w:trPr>
        <w:tc>
          <w:tcPr>
            <w:tcW w:w="575" w:type="dxa"/>
            <w:vAlign w:val="center"/>
          </w:tcPr>
          <w:p w14:paraId="3B899459" w14:textId="77777777" w:rsidR="00C00F74" w:rsidRDefault="00C101E5">
            <w:pPr>
              <w:jc w:val="center"/>
              <w:rPr>
                <w:sz w:val="20"/>
                <w:szCs w:val="20"/>
              </w:rPr>
            </w:pPr>
            <w:r>
              <w:rPr>
                <w:rFonts w:eastAsia="Calibri"/>
                <w:sz w:val="20"/>
                <w:szCs w:val="20"/>
              </w:rPr>
              <w:t>5.</w:t>
            </w:r>
          </w:p>
        </w:tc>
        <w:tc>
          <w:tcPr>
            <w:tcW w:w="2828" w:type="dxa"/>
            <w:vAlign w:val="center"/>
          </w:tcPr>
          <w:p w14:paraId="280CF3A6" w14:textId="77777777" w:rsidR="00C00F74" w:rsidRDefault="00C101E5">
            <w:pPr>
              <w:jc w:val="left"/>
              <w:rPr>
                <w:sz w:val="20"/>
                <w:szCs w:val="20"/>
              </w:rPr>
            </w:pPr>
            <w:r>
              <w:rPr>
                <w:rFonts w:eastAsia="Calibri"/>
                <w:sz w:val="20"/>
                <w:szCs w:val="20"/>
              </w:rPr>
              <w:t>Panevėžio Broniaus Vaidučio Kutavičiaus muzikos mokykla</w:t>
            </w:r>
          </w:p>
        </w:tc>
        <w:tc>
          <w:tcPr>
            <w:tcW w:w="5812" w:type="dxa"/>
          </w:tcPr>
          <w:p w14:paraId="13EBEE91" w14:textId="77777777" w:rsidR="00C00F74" w:rsidRDefault="00C101E5">
            <w:pPr>
              <w:rPr>
                <w:sz w:val="20"/>
                <w:szCs w:val="20"/>
              </w:rPr>
            </w:pPr>
            <w:r>
              <w:rPr>
                <w:rFonts w:eastAsia="Calibri"/>
                <w:sz w:val="20"/>
                <w:szCs w:val="20"/>
              </w:rPr>
              <w:t>Atlyginimas už vaiko ugdymą pagal parengiamojo muzikinio, muzikos mėgėjų, kryptingo muzikinio ugdymo programas (su individualiomis pamokomis)</w:t>
            </w:r>
          </w:p>
        </w:tc>
        <w:tc>
          <w:tcPr>
            <w:tcW w:w="1411" w:type="dxa"/>
            <w:vAlign w:val="center"/>
          </w:tcPr>
          <w:p w14:paraId="5D2BDA2F" w14:textId="77777777" w:rsidR="00C00F74" w:rsidRDefault="00C101E5">
            <w:pPr>
              <w:jc w:val="center"/>
              <w:rPr>
                <w:sz w:val="20"/>
                <w:szCs w:val="20"/>
              </w:rPr>
            </w:pPr>
            <w:r>
              <w:rPr>
                <w:rFonts w:eastAsia="Calibri"/>
                <w:sz w:val="20"/>
                <w:szCs w:val="20"/>
              </w:rPr>
              <w:t>3 proc.</w:t>
            </w:r>
          </w:p>
        </w:tc>
      </w:tr>
      <w:tr w:rsidR="00C00F74" w14:paraId="18F72B84" w14:textId="77777777">
        <w:trPr>
          <w:trHeight w:val="265"/>
        </w:trPr>
        <w:tc>
          <w:tcPr>
            <w:tcW w:w="575" w:type="dxa"/>
            <w:vAlign w:val="center"/>
          </w:tcPr>
          <w:p w14:paraId="163F770A" w14:textId="77777777" w:rsidR="00C00F74" w:rsidRDefault="00C101E5">
            <w:pPr>
              <w:jc w:val="center"/>
              <w:rPr>
                <w:sz w:val="20"/>
                <w:szCs w:val="20"/>
              </w:rPr>
            </w:pPr>
            <w:r>
              <w:rPr>
                <w:rFonts w:eastAsia="Calibri"/>
                <w:sz w:val="20"/>
                <w:szCs w:val="20"/>
              </w:rPr>
              <w:t>6.</w:t>
            </w:r>
          </w:p>
        </w:tc>
        <w:tc>
          <w:tcPr>
            <w:tcW w:w="2828" w:type="dxa"/>
            <w:vAlign w:val="center"/>
          </w:tcPr>
          <w:p w14:paraId="1BC67D65" w14:textId="77777777" w:rsidR="00C00F74" w:rsidRDefault="00C101E5">
            <w:pPr>
              <w:jc w:val="left"/>
              <w:rPr>
                <w:sz w:val="20"/>
                <w:szCs w:val="20"/>
              </w:rPr>
            </w:pPr>
            <w:r>
              <w:rPr>
                <w:rFonts w:eastAsia="Calibri"/>
                <w:sz w:val="20"/>
                <w:szCs w:val="20"/>
              </w:rPr>
              <w:t>Panevėžio dailės mokykla</w:t>
            </w:r>
          </w:p>
        </w:tc>
        <w:tc>
          <w:tcPr>
            <w:tcW w:w="5812" w:type="dxa"/>
          </w:tcPr>
          <w:p w14:paraId="28C55F77" w14:textId="77777777" w:rsidR="00C00F74" w:rsidRDefault="00C101E5">
            <w:pPr>
              <w:rPr>
                <w:sz w:val="20"/>
                <w:szCs w:val="20"/>
              </w:rPr>
            </w:pPr>
            <w:r>
              <w:rPr>
                <w:rFonts w:eastAsia="Calibri"/>
                <w:sz w:val="20"/>
                <w:szCs w:val="20"/>
              </w:rPr>
              <w:t>Atlyginimas už vaiko ugdymą pagal ankstyvojo, pasirenkamojo dailės ugdymo programas</w:t>
            </w:r>
          </w:p>
        </w:tc>
        <w:tc>
          <w:tcPr>
            <w:tcW w:w="1411" w:type="dxa"/>
            <w:vAlign w:val="center"/>
          </w:tcPr>
          <w:p w14:paraId="36EC0E8E" w14:textId="77777777" w:rsidR="00C00F74" w:rsidRDefault="00C101E5">
            <w:pPr>
              <w:jc w:val="center"/>
              <w:rPr>
                <w:sz w:val="20"/>
                <w:szCs w:val="20"/>
              </w:rPr>
            </w:pPr>
            <w:r>
              <w:rPr>
                <w:rFonts w:eastAsia="Calibri"/>
                <w:sz w:val="20"/>
                <w:szCs w:val="20"/>
              </w:rPr>
              <w:t>2 proc.</w:t>
            </w:r>
          </w:p>
        </w:tc>
      </w:tr>
      <w:tr w:rsidR="00C00F74" w14:paraId="6883A2A9" w14:textId="77777777">
        <w:trPr>
          <w:trHeight w:val="265"/>
        </w:trPr>
        <w:tc>
          <w:tcPr>
            <w:tcW w:w="575" w:type="dxa"/>
            <w:vAlign w:val="center"/>
          </w:tcPr>
          <w:p w14:paraId="5D4D16D5" w14:textId="77777777" w:rsidR="00C00F74" w:rsidRDefault="00C101E5">
            <w:pPr>
              <w:jc w:val="center"/>
              <w:rPr>
                <w:sz w:val="20"/>
                <w:szCs w:val="20"/>
              </w:rPr>
            </w:pPr>
            <w:r>
              <w:rPr>
                <w:rFonts w:eastAsia="Calibri"/>
                <w:sz w:val="20"/>
                <w:szCs w:val="20"/>
              </w:rPr>
              <w:t>7.</w:t>
            </w:r>
          </w:p>
        </w:tc>
        <w:tc>
          <w:tcPr>
            <w:tcW w:w="2828" w:type="dxa"/>
            <w:vAlign w:val="center"/>
          </w:tcPr>
          <w:p w14:paraId="7171C5D6" w14:textId="77777777" w:rsidR="00C00F74" w:rsidRDefault="00C101E5">
            <w:pPr>
              <w:jc w:val="left"/>
              <w:rPr>
                <w:sz w:val="20"/>
                <w:szCs w:val="20"/>
              </w:rPr>
            </w:pPr>
            <w:r>
              <w:rPr>
                <w:rFonts w:eastAsia="Calibri"/>
                <w:sz w:val="20"/>
                <w:szCs w:val="20"/>
              </w:rPr>
              <w:t>Panevėžio Broniaus Vaidučio Kutavičiaus muzikos mokykla</w:t>
            </w:r>
          </w:p>
        </w:tc>
        <w:tc>
          <w:tcPr>
            <w:tcW w:w="5812" w:type="dxa"/>
          </w:tcPr>
          <w:p w14:paraId="34BFA87D" w14:textId="77777777" w:rsidR="00C00F74" w:rsidRDefault="00C101E5">
            <w:pPr>
              <w:rPr>
                <w:sz w:val="20"/>
                <w:szCs w:val="20"/>
              </w:rPr>
            </w:pPr>
            <w:r>
              <w:rPr>
                <w:rFonts w:eastAsia="Calibri"/>
                <w:sz w:val="20"/>
                <w:szCs w:val="20"/>
              </w:rPr>
              <w:t>Atlyginimas už vaiko ugdymą pagal kryptingo ugdymo meno kolektyvuose programą (be individualių pamokų)</w:t>
            </w:r>
          </w:p>
        </w:tc>
        <w:tc>
          <w:tcPr>
            <w:tcW w:w="1411" w:type="dxa"/>
            <w:vAlign w:val="center"/>
          </w:tcPr>
          <w:p w14:paraId="37AFA617" w14:textId="77777777" w:rsidR="00C00F74" w:rsidRDefault="00C101E5">
            <w:pPr>
              <w:jc w:val="center"/>
              <w:rPr>
                <w:sz w:val="20"/>
                <w:szCs w:val="20"/>
              </w:rPr>
            </w:pPr>
            <w:r>
              <w:rPr>
                <w:rFonts w:eastAsia="Calibri"/>
                <w:sz w:val="20"/>
                <w:szCs w:val="20"/>
              </w:rPr>
              <w:t>0,5 proc.</w:t>
            </w:r>
          </w:p>
        </w:tc>
      </w:tr>
      <w:tr w:rsidR="00C00F74" w14:paraId="398DF5B9" w14:textId="77777777">
        <w:trPr>
          <w:trHeight w:val="265"/>
        </w:trPr>
        <w:tc>
          <w:tcPr>
            <w:tcW w:w="575" w:type="dxa"/>
            <w:vAlign w:val="center"/>
          </w:tcPr>
          <w:p w14:paraId="1D041339" w14:textId="77777777" w:rsidR="00C00F74" w:rsidRDefault="00C101E5">
            <w:pPr>
              <w:jc w:val="center"/>
              <w:rPr>
                <w:sz w:val="20"/>
                <w:szCs w:val="20"/>
              </w:rPr>
            </w:pPr>
            <w:r>
              <w:rPr>
                <w:rFonts w:eastAsia="Calibri"/>
                <w:sz w:val="20"/>
                <w:szCs w:val="20"/>
              </w:rPr>
              <w:t>8.</w:t>
            </w:r>
          </w:p>
        </w:tc>
        <w:tc>
          <w:tcPr>
            <w:tcW w:w="2828" w:type="dxa"/>
            <w:vAlign w:val="center"/>
          </w:tcPr>
          <w:p w14:paraId="406245C7" w14:textId="77777777" w:rsidR="00C00F74" w:rsidRDefault="00C101E5">
            <w:pPr>
              <w:jc w:val="left"/>
              <w:rPr>
                <w:sz w:val="20"/>
                <w:szCs w:val="20"/>
              </w:rPr>
            </w:pPr>
            <w:r>
              <w:rPr>
                <w:rFonts w:eastAsia="Calibri"/>
                <w:sz w:val="20"/>
                <w:szCs w:val="20"/>
              </w:rPr>
              <w:t>Panevėžio Broniaus Vaidučio Kutavičiaus muzikos mokykla</w:t>
            </w:r>
          </w:p>
        </w:tc>
        <w:tc>
          <w:tcPr>
            <w:tcW w:w="5812" w:type="dxa"/>
          </w:tcPr>
          <w:p w14:paraId="151BB57E" w14:textId="77777777" w:rsidR="00C00F74" w:rsidRDefault="00C101E5">
            <w:pPr>
              <w:rPr>
                <w:sz w:val="20"/>
                <w:szCs w:val="20"/>
              </w:rPr>
            </w:pPr>
            <w:r>
              <w:rPr>
                <w:rFonts w:eastAsia="Calibri"/>
                <w:sz w:val="20"/>
                <w:szCs w:val="20"/>
              </w:rPr>
              <w:t>Atlyginimas už vaiko ugdymą pagal meninės saviraiškos (trimito studija, saksofonininkų studija, gitaristų studija) (be individualių pamokų)</w:t>
            </w:r>
          </w:p>
        </w:tc>
        <w:tc>
          <w:tcPr>
            <w:tcW w:w="1411" w:type="dxa"/>
            <w:vAlign w:val="center"/>
          </w:tcPr>
          <w:p w14:paraId="630E6036" w14:textId="77777777" w:rsidR="00C00F74" w:rsidRDefault="00C101E5">
            <w:pPr>
              <w:jc w:val="center"/>
              <w:rPr>
                <w:sz w:val="20"/>
                <w:szCs w:val="20"/>
              </w:rPr>
            </w:pPr>
            <w:r>
              <w:rPr>
                <w:rFonts w:eastAsia="Calibri"/>
                <w:sz w:val="20"/>
                <w:szCs w:val="20"/>
              </w:rPr>
              <w:t>1 proc.</w:t>
            </w:r>
          </w:p>
        </w:tc>
      </w:tr>
      <w:tr w:rsidR="00C00F74" w14:paraId="45DFD76E" w14:textId="77777777">
        <w:trPr>
          <w:trHeight w:val="265"/>
        </w:trPr>
        <w:tc>
          <w:tcPr>
            <w:tcW w:w="575" w:type="dxa"/>
            <w:vAlign w:val="center"/>
          </w:tcPr>
          <w:p w14:paraId="16188896" w14:textId="77777777" w:rsidR="00C00F74" w:rsidRDefault="00C101E5">
            <w:pPr>
              <w:jc w:val="center"/>
              <w:rPr>
                <w:sz w:val="20"/>
                <w:szCs w:val="20"/>
              </w:rPr>
            </w:pPr>
            <w:r>
              <w:rPr>
                <w:rFonts w:eastAsia="Calibri"/>
                <w:sz w:val="20"/>
                <w:szCs w:val="20"/>
              </w:rPr>
              <w:t>9.</w:t>
            </w:r>
          </w:p>
        </w:tc>
        <w:tc>
          <w:tcPr>
            <w:tcW w:w="2828" w:type="dxa"/>
            <w:vAlign w:val="center"/>
          </w:tcPr>
          <w:p w14:paraId="463C95D1" w14:textId="77777777" w:rsidR="00C00F74" w:rsidRDefault="00C101E5">
            <w:pPr>
              <w:jc w:val="left"/>
              <w:rPr>
                <w:sz w:val="20"/>
                <w:szCs w:val="20"/>
              </w:rPr>
            </w:pPr>
            <w:r>
              <w:rPr>
                <w:rFonts w:eastAsia="Calibri"/>
                <w:sz w:val="20"/>
                <w:szCs w:val="20"/>
              </w:rPr>
              <w:t>Panevėžio moksleivių namai, Panevėžio švietimo centro padaliniai-skyriai,</w:t>
            </w:r>
          </w:p>
          <w:p w14:paraId="1D4C5D07" w14:textId="77777777" w:rsidR="00C00F74" w:rsidRDefault="00C101E5">
            <w:pPr>
              <w:jc w:val="left"/>
              <w:rPr>
                <w:sz w:val="20"/>
                <w:szCs w:val="20"/>
              </w:rPr>
            </w:pPr>
            <w:r>
              <w:rPr>
                <w:rFonts w:eastAsia="Calibri"/>
                <w:sz w:val="20"/>
                <w:szCs w:val="20"/>
              </w:rPr>
              <w:t>Panevėžio dailės mokykla</w:t>
            </w:r>
          </w:p>
        </w:tc>
        <w:tc>
          <w:tcPr>
            <w:tcW w:w="5812" w:type="dxa"/>
            <w:vAlign w:val="center"/>
          </w:tcPr>
          <w:p w14:paraId="159990D0" w14:textId="77777777" w:rsidR="00C00F74" w:rsidRDefault="00C101E5">
            <w:pPr>
              <w:jc w:val="left"/>
              <w:rPr>
                <w:sz w:val="20"/>
                <w:szCs w:val="20"/>
              </w:rPr>
            </w:pPr>
            <w:r>
              <w:rPr>
                <w:rFonts w:eastAsia="Calibri"/>
                <w:sz w:val="20"/>
                <w:szCs w:val="20"/>
              </w:rPr>
              <w:t>Atlyginimas už vaiko ugdymą pagal meninio, techninės kūrybos ir saviraiškos, turizmo ir sporto, sumaniosios specializacijos, technologinio-inžinerinio ugdymo, kūrybinių industrijų, STEAM ugdymo programą (be individualių pamokų) </w:t>
            </w:r>
          </w:p>
        </w:tc>
        <w:tc>
          <w:tcPr>
            <w:tcW w:w="1411" w:type="dxa"/>
            <w:vAlign w:val="center"/>
          </w:tcPr>
          <w:p w14:paraId="3F55490A" w14:textId="77777777" w:rsidR="00C00F74" w:rsidRDefault="00C101E5">
            <w:pPr>
              <w:jc w:val="center"/>
              <w:rPr>
                <w:sz w:val="20"/>
                <w:szCs w:val="20"/>
              </w:rPr>
            </w:pPr>
            <w:r>
              <w:rPr>
                <w:rFonts w:eastAsia="Calibri"/>
                <w:sz w:val="20"/>
                <w:szCs w:val="20"/>
              </w:rPr>
              <w:t>0,7 proc.</w:t>
            </w:r>
          </w:p>
        </w:tc>
      </w:tr>
      <w:tr w:rsidR="00C00F74" w14:paraId="4EAF35E5" w14:textId="77777777">
        <w:trPr>
          <w:trHeight w:val="265"/>
        </w:trPr>
        <w:tc>
          <w:tcPr>
            <w:tcW w:w="575" w:type="dxa"/>
            <w:vAlign w:val="center"/>
          </w:tcPr>
          <w:p w14:paraId="375865C9" w14:textId="77777777" w:rsidR="00C00F74" w:rsidRDefault="00C101E5">
            <w:pPr>
              <w:jc w:val="center"/>
              <w:rPr>
                <w:sz w:val="20"/>
                <w:szCs w:val="20"/>
              </w:rPr>
            </w:pPr>
            <w:r>
              <w:rPr>
                <w:rFonts w:eastAsia="Calibri"/>
                <w:sz w:val="20"/>
                <w:szCs w:val="20"/>
              </w:rPr>
              <w:t>10.</w:t>
            </w:r>
          </w:p>
        </w:tc>
        <w:tc>
          <w:tcPr>
            <w:tcW w:w="2828" w:type="dxa"/>
            <w:vAlign w:val="center"/>
          </w:tcPr>
          <w:p w14:paraId="5545AD28" w14:textId="77777777" w:rsidR="00C00F74" w:rsidRDefault="00C101E5">
            <w:pPr>
              <w:jc w:val="left"/>
              <w:rPr>
                <w:sz w:val="20"/>
                <w:szCs w:val="20"/>
              </w:rPr>
            </w:pPr>
            <w:r>
              <w:rPr>
                <w:rFonts w:eastAsia="Calibri"/>
                <w:sz w:val="20"/>
                <w:szCs w:val="20"/>
              </w:rPr>
              <w:t>Panevėžio gamtos mokykla</w:t>
            </w:r>
          </w:p>
        </w:tc>
        <w:tc>
          <w:tcPr>
            <w:tcW w:w="5812" w:type="dxa"/>
            <w:vAlign w:val="center"/>
          </w:tcPr>
          <w:p w14:paraId="6D10A8E7" w14:textId="77777777" w:rsidR="00C00F74" w:rsidRDefault="00C101E5">
            <w:pPr>
              <w:jc w:val="left"/>
              <w:rPr>
                <w:sz w:val="20"/>
                <w:szCs w:val="20"/>
              </w:rPr>
            </w:pPr>
            <w:r>
              <w:rPr>
                <w:rFonts w:eastAsia="Calibri"/>
                <w:sz w:val="20"/>
                <w:szCs w:val="20"/>
              </w:rPr>
              <w:t>Atlyginimas už vaiko ugdymą pagal aplinkosauginio švietimo programą</w:t>
            </w:r>
          </w:p>
        </w:tc>
        <w:tc>
          <w:tcPr>
            <w:tcW w:w="1411" w:type="dxa"/>
            <w:vAlign w:val="center"/>
          </w:tcPr>
          <w:p w14:paraId="332C89CC" w14:textId="77777777" w:rsidR="00C00F74" w:rsidRDefault="00C101E5">
            <w:pPr>
              <w:jc w:val="center"/>
              <w:rPr>
                <w:sz w:val="20"/>
                <w:szCs w:val="20"/>
              </w:rPr>
            </w:pPr>
            <w:r>
              <w:rPr>
                <w:rFonts w:eastAsia="Calibri"/>
                <w:sz w:val="20"/>
                <w:szCs w:val="20"/>
              </w:rPr>
              <w:t>nemokamai</w:t>
            </w:r>
          </w:p>
        </w:tc>
      </w:tr>
      <w:tr w:rsidR="00C00F74" w14:paraId="26F9AF74" w14:textId="77777777">
        <w:trPr>
          <w:trHeight w:val="397"/>
        </w:trPr>
        <w:tc>
          <w:tcPr>
            <w:tcW w:w="10626" w:type="dxa"/>
            <w:gridSpan w:val="4"/>
            <w:vAlign w:val="center"/>
          </w:tcPr>
          <w:p w14:paraId="32B3636A" w14:textId="77777777" w:rsidR="00C00F74" w:rsidRDefault="00C101E5">
            <w:pPr>
              <w:jc w:val="center"/>
              <w:rPr>
                <w:b/>
                <w:bCs/>
                <w:sz w:val="20"/>
                <w:szCs w:val="20"/>
              </w:rPr>
            </w:pPr>
            <w:r>
              <w:rPr>
                <w:rFonts w:eastAsia="Calibri"/>
                <w:b/>
                <w:bCs/>
                <w:sz w:val="20"/>
                <w:szCs w:val="20"/>
              </w:rPr>
              <w:t>Neformaliojo suaugusiųjų švietimo programos</w:t>
            </w:r>
          </w:p>
        </w:tc>
      </w:tr>
      <w:tr w:rsidR="00C00F74" w14:paraId="1CF4C345" w14:textId="77777777">
        <w:trPr>
          <w:trHeight w:val="240"/>
        </w:trPr>
        <w:tc>
          <w:tcPr>
            <w:tcW w:w="575" w:type="dxa"/>
            <w:vAlign w:val="center"/>
          </w:tcPr>
          <w:p w14:paraId="53CCB5BA" w14:textId="77777777" w:rsidR="00C00F74" w:rsidRDefault="00C101E5">
            <w:pPr>
              <w:jc w:val="center"/>
              <w:rPr>
                <w:sz w:val="20"/>
                <w:szCs w:val="20"/>
              </w:rPr>
            </w:pPr>
            <w:r>
              <w:rPr>
                <w:rFonts w:eastAsia="Calibri"/>
                <w:sz w:val="20"/>
                <w:szCs w:val="20"/>
              </w:rPr>
              <w:t>11.</w:t>
            </w:r>
          </w:p>
        </w:tc>
        <w:tc>
          <w:tcPr>
            <w:tcW w:w="2828" w:type="dxa"/>
            <w:vAlign w:val="center"/>
          </w:tcPr>
          <w:p w14:paraId="6F649070" w14:textId="77777777" w:rsidR="00C00F74" w:rsidRDefault="00C101E5">
            <w:pPr>
              <w:jc w:val="left"/>
              <w:rPr>
                <w:sz w:val="20"/>
                <w:szCs w:val="20"/>
              </w:rPr>
            </w:pPr>
            <w:r>
              <w:rPr>
                <w:rFonts w:eastAsia="Calibri"/>
                <w:sz w:val="20"/>
                <w:szCs w:val="20"/>
              </w:rPr>
              <w:t>Panevėžio Broniaus Vaidučio Kutavičiaus muzikos mokykla</w:t>
            </w:r>
          </w:p>
        </w:tc>
        <w:tc>
          <w:tcPr>
            <w:tcW w:w="5812" w:type="dxa"/>
            <w:vAlign w:val="center"/>
          </w:tcPr>
          <w:p w14:paraId="0005F9CC" w14:textId="77777777" w:rsidR="00C00F74" w:rsidRDefault="00C101E5">
            <w:pPr>
              <w:jc w:val="left"/>
              <w:rPr>
                <w:sz w:val="20"/>
                <w:szCs w:val="20"/>
              </w:rPr>
            </w:pPr>
            <w:r>
              <w:rPr>
                <w:rFonts w:eastAsia="Calibri"/>
                <w:sz w:val="20"/>
                <w:szCs w:val="20"/>
              </w:rPr>
              <w:t xml:space="preserve">Atlyginimas už suaugusiųjų ugdymą pagal muzikinio ugdymo programą </w:t>
            </w:r>
            <w:r>
              <w:rPr>
                <w:rFonts w:eastAsia="Calibri"/>
                <w:iCs/>
                <w:sz w:val="20"/>
                <w:szCs w:val="20"/>
              </w:rPr>
              <w:t>(kai organizuojamas individualus ugdymas)</w:t>
            </w:r>
          </w:p>
        </w:tc>
        <w:tc>
          <w:tcPr>
            <w:tcW w:w="1411" w:type="dxa"/>
            <w:vAlign w:val="center"/>
          </w:tcPr>
          <w:p w14:paraId="004CCA2D" w14:textId="77777777" w:rsidR="00C00F74" w:rsidRDefault="00C101E5">
            <w:pPr>
              <w:jc w:val="center"/>
              <w:rPr>
                <w:sz w:val="20"/>
                <w:szCs w:val="20"/>
              </w:rPr>
            </w:pPr>
            <w:r>
              <w:rPr>
                <w:rFonts w:eastAsia="Calibri"/>
                <w:sz w:val="20"/>
                <w:szCs w:val="20"/>
              </w:rPr>
              <w:t>6 proc.</w:t>
            </w:r>
          </w:p>
        </w:tc>
      </w:tr>
      <w:tr w:rsidR="00C00F74" w14:paraId="4BD60228" w14:textId="77777777">
        <w:trPr>
          <w:trHeight w:val="240"/>
        </w:trPr>
        <w:tc>
          <w:tcPr>
            <w:tcW w:w="575" w:type="dxa"/>
            <w:vAlign w:val="center"/>
          </w:tcPr>
          <w:p w14:paraId="74F3E18F" w14:textId="77777777" w:rsidR="00C00F74" w:rsidRDefault="00C101E5">
            <w:pPr>
              <w:jc w:val="center"/>
              <w:rPr>
                <w:sz w:val="20"/>
                <w:szCs w:val="20"/>
              </w:rPr>
            </w:pPr>
            <w:r>
              <w:rPr>
                <w:rFonts w:eastAsia="Calibri"/>
                <w:sz w:val="20"/>
                <w:szCs w:val="20"/>
              </w:rPr>
              <w:t>12.</w:t>
            </w:r>
          </w:p>
        </w:tc>
        <w:tc>
          <w:tcPr>
            <w:tcW w:w="2828" w:type="dxa"/>
            <w:vAlign w:val="center"/>
          </w:tcPr>
          <w:p w14:paraId="4B211845" w14:textId="77777777" w:rsidR="00C00F74" w:rsidRDefault="00C101E5">
            <w:pPr>
              <w:jc w:val="left"/>
              <w:rPr>
                <w:sz w:val="20"/>
                <w:szCs w:val="20"/>
              </w:rPr>
            </w:pPr>
            <w:r>
              <w:rPr>
                <w:rFonts w:eastAsia="Calibri"/>
                <w:sz w:val="20"/>
                <w:szCs w:val="20"/>
              </w:rPr>
              <w:t>Panevėžio Broniaus Vaidučio Kutavičiaus muzikos mokykla</w:t>
            </w:r>
          </w:p>
        </w:tc>
        <w:tc>
          <w:tcPr>
            <w:tcW w:w="5812" w:type="dxa"/>
            <w:vAlign w:val="center"/>
          </w:tcPr>
          <w:p w14:paraId="4FACE981" w14:textId="77777777" w:rsidR="00C00F74" w:rsidRDefault="00C101E5">
            <w:pPr>
              <w:jc w:val="left"/>
              <w:rPr>
                <w:sz w:val="20"/>
                <w:szCs w:val="20"/>
              </w:rPr>
            </w:pPr>
            <w:r>
              <w:rPr>
                <w:rFonts w:eastAsia="Calibri"/>
                <w:sz w:val="20"/>
                <w:szCs w:val="20"/>
              </w:rPr>
              <w:t>Atlyginimas už suaugusiųjų ugdymą pagal muzikinio, šokio, teatro ugdymo (kai organizuojamas ugdymas grupėje (vienam asmeniui)</w:t>
            </w:r>
          </w:p>
        </w:tc>
        <w:tc>
          <w:tcPr>
            <w:tcW w:w="1411" w:type="dxa"/>
            <w:vAlign w:val="center"/>
          </w:tcPr>
          <w:p w14:paraId="3786DCEB" w14:textId="77777777" w:rsidR="00C00F74" w:rsidRDefault="00C101E5">
            <w:pPr>
              <w:jc w:val="center"/>
              <w:rPr>
                <w:sz w:val="20"/>
                <w:szCs w:val="20"/>
              </w:rPr>
            </w:pPr>
            <w:r>
              <w:rPr>
                <w:rFonts w:eastAsia="Calibri"/>
                <w:sz w:val="20"/>
                <w:szCs w:val="20"/>
              </w:rPr>
              <w:t>1,5 proc.</w:t>
            </w:r>
          </w:p>
        </w:tc>
      </w:tr>
      <w:tr w:rsidR="00C00F74" w14:paraId="21C2B1B7" w14:textId="77777777">
        <w:trPr>
          <w:trHeight w:val="240"/>
        </w:trPr>
        <w:tc>
          <w:tcPr>
            <w:tcW w:w="575" w:type="dxa"/>
            <w:vAlign w:val="center"/>
          </w:tcPr>
          <w:p w14:paraId="6C1D89C0" w14:textId="77777777" w:rsidR="00C00F74" w:rsidRDefault="00C101E5">
            <w:pPr>
              <w:jc w:val="center"/>
              <w:rPr>
                <w:sz w:val="20"/>
                <w:szCs w:val="20"/>
              </w:rPr>
            </w:pPr>
            <w:r>
              <w:rPr>
                <w:rFonts w:eastAsia="Calibri"/>
                <w:sz w:val="20"/>
                <w:szCs w:val="20"/>
              </w:rPr>
              <w:t>13.</w:t>
            </w:r>
          </w:p>
        </w:tc>
        <w:tc>
          <w:tcPr>
            <w:tcW w:w="2828" w:type="dxa"/>
            <w:vAlign w:val="center"/>
          </w:tcPr>
          <w:p w14:paraId="443A870E" w14:textId="77777777" w:rsidR="00C00F74" w:rsidRDefault="00C101E5">
            <w:pPr>
              <w:jc w:val="left"/>
              <w:rPr>
                <w:sz w:val="20"/>
                <w:szCs w:val="20"/>
              </w:rPr>
            </w:pPr>
            <w:r>
              <w:rPr>
                <w:rFonts w:eastAsia="Calibri"/>
                <w:sz w:val="20"/>
                <w:szCs w:val="20"/>
              </w:rPr>
              <w:t>Panevėžio dailės mokykla</w:t>
            </w:r>
          </w:p>
        </w:tc>
        <w:tc>
          <w:tcPr>
            <w:tcW w:w="5812" w:type="dxa"/>
            <w:vAlign w:val="center"/>
          </w:tcPr>
          <w:p w14:paraId="145C0B1E" w14:textId="77777777" w:rsidR="00C00F74" w:rsidRDefault="00C101E5">
            <w:pPr>
              <w:jc w:val="left"/>
              <w:rPr>
                <w:sz w:val="20"/>
                <w:szCs w:val="20"/>
              </w:rPr>
            </w:pPr>
            <w:r>
              <w:rPr>
                <w:rFonts w:eastAsia="Calibri"/>
                <w:sz w:val="20"/>
                <w:szCs w:val="20"/>
              </w:rPr>
              <w:t>Atlyginimas už suaugusiųjų ugdymą pagal muzikinio, dailės ugdymo programą (be individualių pamokų) </w:t>
            </w:r>
          </w:p>
        </w:tc>
        <w:tc>
          <w:tcPr>
            <w:tcW w:w="1411" w:type="dxa"/>
            <w:vAlign w:val="center"/>
          </w:tcPr>
          <w:p w14:paraId="2A232803" w14:textId="77777777" w:rsidR="00C00F74" w:rsidRDefault="00C101E5">
            <w:pPr>
              <w:jc w:val="center"/>
              <w:rPr>
                <w:sz w:val="20"/>
                <w:szCs w:val="20"/>
              </w:rPr>
            </w:pPr>
            <w:r>
              <w:rPr>
                <w:rFonts w:eastAsia="Calibri"/>
                <w:sz w:val="20"/>
                <w:szCs w:val="20"/>
              </w:rPr>
              <w:t>3 proc.</w:t>
            </w:r>
          </w:p>
        </w:tc>
      </w:tr>
      <w:tr w:rsidR="00C00F74" w14:paraId="6F1F0750" w14:textId="77777777">
        <w:trPr>
          <w:trHeight w:val="240"/>
        </w:trPr>
        <w:tc>
          <w:tcPr>
            <w:tcW w:w="575" w:type="dxa"/>
            <w:vAlign w:val="center"/>
          </w:tcPr>
          <w:p w14:paraId="45287CEA" w14:textId="77777777" w:rsidR="00C00F74" w:rsidRDefault="00C101E5">
            <w:pPr>
              <w:jc w:val="center"/>
              <w:rPr>
                <w:sz w:val="20"/>
                <w:szCs w:val="20"/>
              </w:rPr>
            </w:pPr>
            <w:r>
              <w:rPr>
                <w:rFonts w:eastAsia="Calibri"/>
                <w:sz w:val="20"/>
                <w:szCs w:val="20"/>
              </w:rPr>
              <w:t>14.</w:t>
            </w:r>
          </w:p>
        </w:tc>
        <w:tc>
          <w:tcPr>
            <w:tcW w:w="2828" w:type="dxa"/>
            <w:vAlign w:val="center"/>
          </w:tcPr>
          <w:p w14:paraId="3D4D0921" w14:textId="77777777" w:rsidR="00C00F74" w:rsidRDefault="00C101E5">
            <w:pPr>
              <w:jc w:val="left"/>
              <w:rPr>
                <w:sz w:val="20"/>
                <w:szCs w:val="20"/>
              </w:rPr>
            </w:pPr>
            <w:r>
              <w:rPr>
                <w:rFonts w:eastAsia="Calibri"/>
                <w:sz w:val="20"/>
                <w:szCs w:val="20"/>
              </w:rPr>
              <w:t>Panevėžio švietimo centro padaliniai-skyriai</w:t>
            </w:r>
          </w:p>
        </w:tc>
        <w:tc>
          <w:tcPr>
            <w:tcW w:w="5812" w:type="dxa"/>
            <w:vAlign w:val="center"/>
          </w:tcPr>
          <w:p w14:paraId="4F6414F3" w14:textId="77777777" w:rsidR="00C00F74" w:rsidRDefault="00C101E5">
            <w:pPr>
              <w:jc w:val="left"/>
              <w:rPr>
                <w:sz w:val="20"/>
                <w:szCs w:val="20"/>
              </w:rPr>
            </w:pPr>
            <w:r>
              <w:rPr>
                <w:rFonts w:eastAsia="Calibri"/>
                <w:sz w:val="20"/>
                <w:szCs w:val="20"/>
              </w:rPr>
              <w:t>Atlyginimas už suaugusiųjų STEAM ugdymo programą (be individualių pamokų) </w:t>
            </w:r>
          </w:p>
        </w:tc>
        <w:tc>
          <w:tcPr>
            <w:tcW w:w="1411" w:type="dxa"/>
            <w:vAlign w:val="center"/>
          </w:tcPr>
          <w:p w14:paraId="4D847F93" w14:textId="77777777" w:rsidR="00C00F74" w:rsidRDefault="00C101E5">
            <w:pPr>
              <w:jc w:val="center"/>
              <w:rPr>
                <w:sz w:val="20"/>
                <w:szCs w:val="20"/>
              </w:rPr>
            </w:pPr>
            <w:r>
              <w:rPr>
                <w:rFonts w:eastAsia="Calibri"/>
                <w:sz w:val="20"/>
                <w:szCs w:val="20"/>
              </w:rPr>
              <w:t>2 proc.</w:t>
            </w:r>
          </w:p>
        </w:tc>
      </w:tr>
      <w:tr w:rsidR="00C00F74" w14:paraId="400171C5" w14:textId="77777777">
        <w:trPr>
          <w:trHeight w:val="240"/>
        </w:trPr>
        <w:tc>
          <w:tcPr>
            <w:tcW w:w="575" w:type="dxa"/>
            <w:vAlign w:val="center"/>
          </w:tcPr>
          <w:p w14:paraId="14686AE5" w14:textId="77777777" w:rsidR="00C00F74" w:rsidRDefault="00C101E5">
            <w:pPr>
              <w:jc w:val="center"/>
              <w:rPr>
                <w:sz w:val="20"/>
                <w:szCs w:val="20"/>
              </w:rPr>
            </w:pPr>
            <w:r>
              <w:rPr>
                <w:rFonts w:eastAsia="Calibri"/>
                <w:sz w:val="20"/>
                <w:szCs w:val="20"/>
              </w:rPr>
              <w:t>15.</w:t>
            </w:r>
          </w:p>
        </w:tc>
        <w:tc>
          <w:tcPr>
            <w:tcW w:w="2828" w:type="dxa"/>
            <w:vAlign w:val="center"/>
          </w:tcPr>
          <w:p w14:paraId="04D99D26" w14:textId="77777777" w:rsidR="00C00F74" w:rsidRDefault="00C101E5">
            <w:pPr>
              <w:jc w:val="left"/>
              <w:rPr>
                <w:sz w:val="20"/>
                <w:szCs w:val="20"/>
              </w:rPr>
            </w:pPr>
            <w:r>
              <w:rPr>
                <w:rFonts w:eastAsia="Calibri"/>
                <w:sz w:val="20"/>
                <w:szCs w:val="20"/>
              </w:rPr>
              <w:t>Panevėžio moksleivių namai</w:t>
            </w:r>
          </w:p>
        </w:tc>
        <w:tc>
          <w:tcPr>
            <w:tcW w:w="5812" w:type="dxa"/>
            <w:vAlign w:val="center"/>
          </w:tcPr>
          <w:p w14:paraId="2B6E78FF" w14:textId="77777777" w:rsidR="00C00F74" w:rsidRDefault="00C101E5">
            <w:pPr>
              <w:jc w:val="left"/>
              <w:rPr>
                <w:sz w:val="20"/>
                <w:szCs w:val="20"/>
              </w:rPr>
            </w:pPr>
            <w:r>
              <w:rPr>
                <w:rFonts w:eastAsia="Calibri"/>
                <w:sz w:val="20"/>
                <w:szCs w:val="20"/>
              </w:rPr>
              <w:t>Atlyginimas už suaugusiųjų ugdymą pagal meninio, techninės kūrybos ir saviraiškos, turizmo ir sporto programą (be individualių pamokų) </w:t>
            </w:r>
          </w:p>
        </w:tc>
        <w:tc>
          <w:tcPr>
            <w:tcW w:w="1411" w:type="dxa"/>
            <w:vAlign w:val="center"/>
          </w:tcPr>
          <w:p w14:paraId="48249F56" w14:textId="77777777" w:rsidR="00C00F74" w:rsidRDefault="00C101E5">
            <w:pPr>
              <w:jc w:val="center"/>
              <w:rPr>
                <w:sz w:val="20"/>
                <w:szCs w:val="20"/>
              </w:rPr>
            </w:pPr>
            <w:r>
              <w:rPr>
                <w:rFonts w:eastAsia="Calibri"/>
                <w:sz w:val="20"/>
                <w:szCs w:val="20"/>
              </w:rPr>
              <w:t>1,5 proc.</w:t>
            </w:r>
          </w:p>
        </w:tc>
      </w:tr>
    </w:tbl>
    <w:p w14:paraId="12767001" w14:textId="77777777" w:rsidR="00C00F74" w:rsidRDefault="00C00F74"/>
    <w:p w14:paraId="64B39D3E" w14:textId="77777777" w:rsidR="00C00F74" w:rsidRDefault="00C101E5">
      <w:r>
        <w:br w:type="column"/>
      </w:r>
    </w:p>
    <w:tbl>
      <w:tblPr>
        <w:tblStyle w:val="Lentelstinklelis"/>
        <w:tblW w:w="10627" w:type="dxa"/>
        <w:tblInd w:w="-998" w:type="dxa"/>
        <w:tblLayout w:type="fixed"/>
        <w:tblLook w:val="04A0" w:firstRow="1" w:lastRow="0" w:firstColumn="1" w:lastColumn="0" w:noHBand="0" w:noVBand="1"/>
      </w:tblPr>
      <w:tblGrid>
        <w:gridCol w:w="575"/>
        <w:gridCol w:w="2828"/>
        <w:gridCol w:w="5813"/>
        <w:gridCol w:w="1411"/>
      </w:tblGrid>
      <w:tr w:rsidR="00C00F74" w14:paraId="17C90952" w14:textId="77777777">
        <w:trPr>
          <w:trHeight w:val="387"/>
        </w:trPr>
        <w:tc>
          <w:tcPr>
            <w:tcW w:w="9215" w:type="dxa"/>
            <w:gridSpan w:val="3"/>
            <w:vAlign w:val="center"/>
          </w:tcPr>
          <w:p w14:paraId="59A44D48" w14:textId="77777777" w:rsidR="00C00F74" w:rsidRDefault="00C101E5">
            <w:pPr>
              <w:jc w:val="center"/>
              <w:rPr>
                <w:b/>
                <w:bCs/>
                <w:sz w:val="20"/>
                <w:szCs w:val="20"/>
              </w:rPr>
            </w:pPr>
            <w:r>
              <w:rPr>
                <w:rFonts w:eastAsia="Calibri"/>
                <w:b/>
                <w:bCs/>
                <w:sz w:val="20"/>
                <w:szCs w:val="20"/>
              </w:rPr>
              <w:t>Edukacinės-pažintinės programos</w:t>
            </w:r>
          </w:p>
        </w:tc>
        <w:tc>
          <w:tcPr>
            <w:tcW w:w="1411" w:type="dxa"/>
            <w:vAlign w:val="center"/>
          </w:tcPr>
          <w:p w14:paraId="0F35A35E" w14:textId="77777777" w:rsidR="00C00F74" w:rsidRDefault="00C101E5">
            <w:pPr>
              <w:jc w:val="center"/>
              <w:rPr>
                <w:b/>
                <w:bCs/>
                <w:sz w:val="20"/>
                <w:szCs w:val="20"/>
              </w:rPr>
            </w:pPr>
            <w:r>
              <w:rPr>
                <w:rFonts w:eastAsia="Calibri"/>
                <w:b/>
                <w:bCs/>
                <w:sz w:val="20"/>
                <w:szCs w:val="20"/>
              </w:rPr>
              <w:t>Atlyginimas už 1 akad. val. proc. nuo MMA</w:t>
            </w:r>
          </w:p>
        </w:tc>
      </w:tr>
      <w:tr w:rsidR="00C00F74" w14:paraId="59FD5A47" w14:textId="77777777">
        <w:trPr>
          <w:trHeight w:val="866"/>
        </w:trPr>
        <w:tc>
          <w:tcPr>
            <w:tcW w:w="575" w:type="dxa"/>
            <w:vAlign w:val="center"/>
          </w:tcPr>
          <w:p w14:paraId="16773CCC" w14:textId="77777777" w:rsidR="00C00F74" w:rsidRDefault="00C101E5">
            <w:pPr>
              <w:jc w:val="center"/>
              <w:rPr>
                <w:sz w:val="20"/>
                <w:szCs w:val="20"/>
              </w:rPr>
            </w:pPr>
            <w:r>
              <w:rPr>
                <w:rFonts w:eastAsia="Calibri"/>
                <w:sz w:val="20"/>
                <w:szCs w:val="20"/>
              </w:rPr>
              <w:t>16.</w:t>
            </w:r>
          </w:p>
        </w:tc>
        <w:tc>
          <w:tcPr>
            <w:tcW w:w="2828" w:type="dxa"/>
            <w:vMerge w:val="restart"/>
            <w:vAlign w:val="center"/>
          </w:tcPr>
          <w:p w14:paraId="776425D0" w14:textId="77777777" w:rsidR="00C00F74" w:rsidRDefault="00C101E5">
            <w:pPr>
              <w:jc w:val="left"/>
              <w:rPr>
                <w:sz w:val="20"/>
                <w:szCs w:val="20"/>
              </w:rPr>
            </w:pPr>
            <w:r>
              <w:rPr>
                <w:rFonts w:eastAsia="Calibri"/>
                <w:sz w:val="20"/>
                <w:szCs w:val="20"/>
              </w:rPr>
              <w:t>Panevėžio dailės mokykla, Panevėžio gamtos mokykla, Panevėžio Broniaus Vaidučio Kutavičiaus muzikos mokykla, Panevėžio moksleivių namai, Panevėžio švietimo centro padaliniai-skyriai</w:t>
            </w:r>
          </w:p>
        </w:tc>
        <w:tc>
          <w:tcPr>
            <w:tcW w:w="5812" w:type="dxa"/>
            <w:vAlign w:val="center"/>
          </w:tcPr>
          <w:p w14:paraId="580B963F" w14:textId="77777777" w:rsidR="00C00F74" w:rsidRDefault="00C101E5">
            <w:pPr>
              <w:jc w:val="left"/>
              <w:rPr>
                <w:sz w:val="20"/>
                <w:szCs w:val="20"/>
              </w:rPr>
            </w:pPr>
            <w:r>
              <w:rPr>
                <w:rFonts w:eastAsia="Calibri"/>
                <w:sz w:val="20"/>
                <w:szCs w:val="20"/>
              </w:rPr>
              <w:t>Atlyginimas už edukacinę-pažintinę programą vaikams</w:t>
            </w:r>
          </w:p>
        </w:tc>
        <w:tc>
          <w:tcPr>
            <w:tcW w:w="1411" w:type="dxa"/>
            <w:vAlign w:val="center"/>
          </w:tcPr>
          <w:p w14:paraId="4F8FC820" w14:textId="77777777" w:rsidR="00C00F74" w:rsidRDefault="00C101E5">
            <w:pPr>
              <w:jc w:val="center"/>
              <w:rPr>
                <w:sz w:val="20"/>
                <w:szCs w:val="20"/>
              </w:rPr>
            </w:pPr>
            <w:r>
              <w:rPr>
                <w:rFonts w:eastAsia="Calibri"/>
                <w:sz w:val="20"/>
                <w:szCs w:val="20"/>
              </w:rPr>
              <w:t>0,2 proc.</w:t>
            </w:r>
          </w:p>
        </w:tc>
      </w:tr>
      <w:tr w:rsidR="00C00F74" w14:paraId="6BF0C12C" w14:textId="77777777">
        <w:trPr>
          <w:trHeight w:val="220"/>
        </w:trPr>
        <w:tc>
          <w:tcPr>
            <w:tcW w:w="575" w:type="dxa"/>
            <w:vAlign w:val="center"/>
          </w:tcPr>
          <w:p w14:paraId="677D29C9" w14:textId="77777777" w:rsidR="00C00F74" w:rsidRDefault="00C101E5">
            <w:pPr>
              <w:jc w:val="center"/>
              <w:rPr>
                <w:sz w:val="20"/>
                <w:szCs w:val="20"/>
              </w:rPr>
            </w:pPr>
            <w:r>
              <w:rPr>
                <w:rFonts w:eastAsia="Calibri"/>
                <w:sz w:val="20"/>
                <w:szCs w:val="20"/>
              </w:rPr>
              <w:t>17.</w:t>
            </w:r>
          </w:p>
        </w:tc>
        <w:tc>
          <w:tcPr>
            <w:tcW w:w="2828" w:type="dxa"/>
            <w:vMerge/>
          </w:tcPr>
          <w:p w14:paraId="47B8F59C" w14:textId="77777777" w:rsidR="00C00F74" w:rsidRDefault="00C00F74">
            <w:pPr>
              <w:rPr>
                <w:sz w:val="20"/>
                <w:szCs w:val="20"/>
              </w:rPr>
            </w:pPr>
          </w:p>
        </w:tc>
        <w:tc>
          <w:tcPr>
            <w:tcW w:w="5812" w:type="dxa"/>
            <w:vAlign w:val="center"/>
          </w:tcPr>
          <w:p w14:paraId="1DB3499A" w14:textId="77777777" w:rsidR="00C00F74" w:rsidRDefault="00C101E5">
            <w:pPr>
              <w:jc w:val="left"/>
              <w:rPr>
                <w:sz w:val="20"/>
                <w:szCs w:val="20"/>
              </w:rPr>
            </w:pPr>
            <w:r>
              <w:rPr>
                <w:rFonts w:eastAsia="Calibri"/>
                <w:sz w:val="20"/>
                <w:szCs w:val="20"/>
              </w:rPr>
              <w:t xml:space="preserve">Atlyginimas už edukacinę-pažintinę programą suaugusiesiems </w:t>
            </w:r>
          </w:p>
        </w:tc>
        <w:tc>
          <w:tcPr>
            <w:tcW w:w="1411" w:type="dxa"/>
            <w:vAlign w:val="center"/>
          </w:tcPr>
          <w:p w14:paraId="021B49F4" w14:textId="77777777" w:rsidR="00C00F74" w:rsidRDefault="00C101E5">
            <w:pPr>
              <w:jc w:val="center"/>
              <w:rPr>
                <w:sz w:val="20"/>
                <w:szCs w:val="20"/>
              </w:rPr>
            </w:pPr>
            <w:r>
              <w:rPr>
                <w:rFonts w:eastAsia="Calibri"/>
                <w:sz w:val="20"/>
                <w:szCs w:val="20"/>
              </w:rPr>
              <w:t>0,4 proc.</w:t>
            </w:r>
          </w:p>
        </w:tc>
      </w:tr>
      <w:tr w:rsidR="00C00F74" w14:paraId="5497DA18" w14:textId="77777777">
        <w:trPr>
          <w:trHeight w:val="367"/>
        </w:trPr>
        <w:tc>
          <w:tcPr>
            <w:tcW w:w="10626" w:type="dxa"/>
            <w:gridSpan w:val="4"/>
            <w:vAlign w:val="center"/>
          </w:tcPr>
          <w:p w14:paraId="0E2FA349" w14:textId="77777777" w:rsidR="00C00F74" w:rsidRDefault="00C101E5">
            <w:pPr>
              <w:jc w:val="center"/>
              <w:rPr>
                <w:sz w:val="20"/>
                <w:szCs w:val="20"/>
              </w:rPr>
            </w:pPr>
            <w:r>
              <w:rPr>
                <w:rFonts w:eastAsia="Calibri"/>
                <w:b/>
                <w:bCs/>
                <w:sz w:val="20"/>
                <w:szCs w:val="20"/>
              </w:rPr>
              <w:t>Kitos veiklos</w:t>
            </w:r>
          </w:p>
        </w:tc>
      </w:tr>
      <w:tr w:rsidR="00C00F74" w14:paraId="664BD446" w14:textId="77777777">
        <w:trPr>
          <w:trHeight w:val="220"/>
        </w:trPr>
        <w:tc>
          <w:tcPr>
            <w:tcW w:w="575" w:type="dxa"/>
            <w:vMerge w:val="restart"/>
            <w:vAlign w:val="center"/>
          </w:tcPr>
          <w:p w14:paraId="6096BBDC" w14:textId="77777777" w:rsidR="00C00F74" w:rsidRDefault="00C101E5">
            <w:pPr>
              <w:jc w:val="center"/>
              <w:rPr>
                <w:sz w:val="20"/>
                <w:szCs w:val="20"/>
              </w:rPr>
            </w:pPr>
            <w:r>
              <w:rPr>
                <w:rFonts w:eastAsia="Calibri"/>
                <w:sz w:val="20"/>
                <w:szCs w:val="20"/>
              </w:rPr>
              <w:t>18.</w:t>
            </w:r>
          </w:p>
        </w:tc>
        <w:tc>
          <w:tcPr>
            <w:tcW w:w="2828" w:type="dxa"/>
            <w:vMerge w:val="restart"/>
            <w:vAlign w:val="center"/>
          </w:tcPr>
          <w:p w14:paraId="11B1CB67" w14:textId="77777777" w:rsidR="00C00F74" w:rsidRDefault="00C101E5">
            <w:pPr>
              <w:jc w:val="left"/>
              <w:rPr>
                <w:sz w:val="20"/>
                <w:szCs w:val="20"/>
              </w:rPr>
            </w:pPr>
            <w:r>
              <w:rPr>
                <w:rFonts w:eastAsia="Calibri"/>
                <w:sz w:val="20"/>
                <w:szCs w:val="20"/>
              </w:rPr>
              <w:t xml:space="preserve">Panevėžio gamtos mokykla </w:t>
            </w:r>
          </w:p>
        </w:tc>
        <w:tc>
          <w:tcPr>
            <w:tcW w:w="5812" w:type="dxa"/>
          </w:tcPr>
          <w:p w14:paraId="6CD4F825" w14:textId="77777777" w:rsidR="00C00F74" w:rsidRDefault="00C101E5">
            <w:pPr>
              <w:rPr>
                <w:sz w:val="20"/>
                <w:szCs w:val="20"/>
              </w:rPr>
            </w:pPr>
            <w:r>
              <w:rPr>
                <w:rFonts w:eastAsia="Calibri"/>
                <w:sz w:val="20"/>
                <w:szCs w:val="20"/>
              </w:rPr>
              <w:t>Atlyginimas už edukacinių ekspozicijų apžiūrą (vaikui)</w:t>
            </w:r>
          </w:p>
        </w:tc>
        <w:tc>
          <w:tcPr>
            <w:tcW w:w="1411" w:type="dxa"/>
            <w:vAlign w:val="center"/>
          </w:tcPr>
          <w:p w14:paraId="41409974" w14:textId="77777777" w:rsidR="00C00F74" w:rsidRDefault="00C101E5">
            <w:pPr>
              <w:jc w:val="center"/>
              <w:rPr>
                <w:sz w:val="20"/>
                <w:szCs w:val="20"/>
              </w:rPr>
            </w:pPr>
            <w:r>
              <w:rPr>
                <w:rFonts w:eastAsia="Calibri"/>
                <w:sz w:val="20"/>
                <w:szCs w:val="20"/>
              </w:rPr>
              <w:t>0,1 proc.</w:t>
            </w:r>
          </w:p>
        </w:tc>
      </w:tr>
      <w:tr w:rsidR="00C00F74" w14:paraId="76324142" w14:textId="77777777">
        <w:trPr>
          <w:trHeight w:val="261"/>
        </w:trPr>
        <w:tc>
          <w:tcPr>
            <w:tcW w:w="575" w:type="dxa"/>
            <w:vMerge/>
            <w:vAlign w:val="center"/>
          </w:tcPr>
          <w:p w14:paraId="061B792B" w14:textId="77777777" w:rsidR="00C00F74" w:rsidRDefault="00C00F74">
            <w:pPr>
              <w:jc w:val="center"/>
              <w:rPr>
                <w:sz w:val="20"/>
                <w:szCs w:val="20"/>
              </w:rPr>
            </w:pPr>
          </w:p>
        </w:tc>
        <w:tc>
          <w:tcPr>
            <w:tcW w:w="2828" w:type="dxa"/>
            <w:vMerge/>
          </w:tcPr>
          <w:p w14:paraId="67042423" w14:textId="77777777" w:rsidR="00C00F74" w:rsidRDefault="00C00F74">
            <w:pPr>
              <w:rPr>
                <w:sz w:val="20"/>
                <w:szCs w:val="20"/>
              </w:rPr>
            </w:pPr>
          </w:p>
        </w:tc>
        <w:tc>
          <w:tcPr>
            <w:tcW w:w="5812" w:type="dxa"/>
          </w:tcPr>
          <w:p w14:paraId="24EB316D" w14:textId="77777777" w:rsidR="00C00F74" w:rsidRDefault="00C101E5">
            <w:pPr>
              <w:rPr>
                <w:sz w:val="20"/>
                <w:szCs w:val="20"/>
              </w:rPr>
            </w:pPr>
            <w:r>
              <w:rPr>
                <w:rFonts w:eastAsia="Calibri"/>
                <w:sz w:val="20"/>
                <w:szCs w:val="20"/>
              </w:rPr>
              <w:t>Atlyginimas už edukacinių ekspozicijų apžiūrą</w:t>
            </w:r>
            <w:r>
              <w:rPr>
                <w:rFonts w:eastAsia="Calibri"/>
                <w:i/>
                <w:iCs/>
                <w:sz w:val="20"/>
                <w:szCs w:val="20"/>
              </w:rPr>
              <w:t xml:space="preserve"> </w:t>
            </w:r>
            <w:r>
              <w:rPr>
                <w:rFonts w:eastAsia="Calibri"/>
                <w:sz w:val="20"/>
                <w:szCs w:val="20"/>
              </w:rPr>
              <w:t>(suaugusiajam)</w:t>
            </w:r>
          </w:p>
        </w:tc>
        <w:tc>
          <w:tcPr>
            <w:tcW w:w="1411" w:type="dxa"/>
            <w:vAlign w:val="center"/>
          </w:tcPr>
          <w:p w14:paraId="6DD3ECD9" w14:textId="77777777" w:rsidR="00C00F74" w:rsidRDefault="00C101E5">
            <w:pPr>
              <w:jc w:val="center"/>
              <w:rPr>
                <w:sz w:val="20"/>
                <w:szCs w:val="20"/>
              </w:rPr>
            </w:pPr>
            <w:r>
              <w:rPr>
                <w:rFonts w:eastAsia="Calibri"/>
                <w:sz w:val="20"/>
                <w:szCs w:val="20"/>
              </w:rPr>
              <w:t>0,2 proc.</w:t>
            </w:r>
          </w:p>
        </w:tc>
      </w:tr>
      <w:tr w:rsidR="00C00F74" w14:paraId="1A3B5A36" w14:textId="77777777">
        <w:trPr>
          <w:trHeight w:val="220"/>
        </w:trPr>
        <w:tc>
          <w:tcPr>
            <w:tcW w:w="575" w:type="dxa"/>
            <w:vAlign w:val="center"/>
          </w:tcPr>
          <w:p w14:paraId="00FE67B5" w14:textId="77777777" w:rsidR="00C00F74" w:rsidRDefault="00C101E5">
            <w:pPr>
              <w:jc w:val="center"/>
              <w:rPr>
                <w:sz w:val="20"/>
                <w:szCs w:val="20"/>
              </w:rPr>
            </w:pPr>
            <w:r>
              <w:rPr>
                <w:rFonts w:eastAsia="Calibri"/>
                <w:sz w:val="20"/>
                <w:szCs w:val="20"/>
              </w:rPr>
              <w:t>19.</w:t>
            </w:r>
          </w:p>
        </w:tc>
        <w:tc>
          <w:tcPr>
            <w:tcW w:w="2828" w:type="dxa"/>
            <w:vAlign w:val="center"/>
          </w:tcPr>
          <w:p w14:paraId="3ADD3F6E" w14:textId="77777777" w:rsidR="00C00F74" w:rsidRDefault="00C101E5">
            <w:pPr>
              <w:jc w:val="left"/>
              <w:rPr>
                <w:sz w:val="20"/>
                <w:szCs w:val="20"/>
              </w:rPr>
            </w:pPr>
            <w:r>
              <w:rPr>
                <w:rFonts w:eastAsia="Calibri"/>
                <w:sz w:val="20"/>
                <w:szCs w:val="20"/>
              </w:rPr>
              <w:t>Panevėžio švietimo centro padaliniai-skyriai</w:t>
            </w:r>
          </w:p>
        </w:tc>
        <w:tc>
          <w:tcPr>
            <w:tcW w:w="5812" w:type="dxa"/>
            <w:vAlign w:val="center"/>
          </w:tcPr>
          <w:p w14:paraId="54D72D09" w14:textId="77777777" w:rsidR="00C00F74" w:rsidRDefault="00C101E5">
            <w:pPr>
              <w:jc w:val="left"/>
              <w:rPr>
                <w:i/>
                <w:iCs/>
                <w:sz w:val="20"/>
                <w:szCs w:val="20"/>
              </w:rPr>
            </w:pPr>
            <w:r>
              <w:rPr>
                <w:rFonts w:eastAsia="Calibri"/>
                <w:sz w:val="20"/>
                <w:szCs w:val="20"/>
              </w:rPr>
              <w:t>Atlyginimas už pažintinį vizitą (grupei)</w:t>
            </w:r>
          </w:p>
        </w:tc>
        <w:tc>
          <w:tcPr>
            <w:tcW w:w="1411" w:type="dxa"/>
            <w:vAlign w:val="center"/>
          </w:tcPr>
          <w:p w14:paraId="5DE7A1E9" w14:textId="77777777" w:rsidR="00C00F74" w:rsidRDefault="00C101E5">
            <w:pPr>
              <w:jc w:val="center"/>
              <w:rPr>
                <w:sz w:val="20"/>
                <w:szCs w:val="20"/>
              </w:rPr>
            </w:pPr>
            <w:r>
              <w:rPr>
                <w:rFonts w:eastAsia="Calibri"/>
                <w:sz w:val="20"/>
                <w:szCs w:val="20"/>
              </w:rPr>
              <w:t>0,4 proc.</w:t>
            </w:r>
          </w:p>
        </w:tc>
      </w:tr>
      <w:tr w:rsidR="00C00F74" w14:paraId="6AAF4DD1" w14:textId="77777777">
        <w:trPr>
          <w:trHeight w:val="220"/>
        </w:trPr>
        <w:tc>
          <w:tcPr>
            <w:tcW w:w="575" w:type="dxa"/>
            <w:vAlign w:val="center"/>
          </w:tcPr>
          <w:p w14:paraId="7200990A" w14:textId="77777777" w:rsidR="00C00F74" w:rsidRDefault="00C101E5">
            <w:pPr>
              <w:jc w:val="center"/>
              <w:rPr>
                <w:sz w:val="20"/>
                <w:szCs w:val="20"/>
              </w:rPr>
            </w:pPr>
            <w:r>
              <w:rPr>
                <w:rFonts w:eastAsia="Calibri"/>
                <w:sz w:val="20"/>
                <w:szCs w:val="20"/>
              </w:rPr>
              <w:t>20.</w:t>
            </w:r>
          </w:p>
        </w:tc>
        <w:tc>
          <w:tcPr>
            <w:tcW w:w="2828" w:type="dxa"/>
            <w:vAlign w:val="center"/>
          </w:tcPr>
          <w:p w14:paraId="1BFC0328" w14:textId="77777777" w:rsidR="00C00F74" w:rsidRDefault="00C101E5">
            <w:pPr>
              <w:jc w:val="left"/>
              <w:rPr>
                <w:sz w:val="20"/>
                <w:szCs w:val="20"/>
              </w:rPr>
            </w:pPr>
            <w:r>
              <w:rPr>
                <w:rFonts w:eastAsia="Calibri"/>
                <w:sz w:val="20"/>
                <w:szCs w:val="20"/>
              </w:rPr>
              <w:t>Panevėžio švietimo centro padaliniai-skyriai</w:t>
            </w:r>
          </w:p>
        </w:tc>
        <w:tc>
          <w:tcPr>
            <w:tcW w:w="5812" w:type="dxa"/>
            <w:vAlign w:val="center"/>
          </w:tcPr>
          <w:p w14:paraId="2E11C603" w14:textId="77777777" w:rsidR="00C00F74" w:rsidRDefault="00C101E5">
            <w:pPr>
              <w:jc w:val="left"/>
              <w:rPr>
                <w:sz w:val="20"/>
                <w:szCs w:val="20"/>
              </w:rPr>
            </w:pPr>
            <w:r>
              <w:rPr>
                <w:rFonts w:eastAsia="Calibri"/>
                <w:sz w:val="20"/>
                <w:szCs w:val="20"/>
              </w:rPr>
              <w:t>Atlyginimas už mokinių grupių ugdymą formaliojo ugdymo užsiėmimuose (12–19 metų)</w:t>
            </w:r>
          </w:p>
        </w:tc>
        <w:tc>
          <w:tcPr>
            <w:tcW w:w="1411" w:type="dxa"/>
            <w:vAlign w:val="center"/>
          </w:tcPr>
          <w:p w14:paraId="7AE62891" w14:textId="77777777" w:rsidR="00C00F74" w:rsidRDefault="00C101E5">
            <w:pPr>
              <w:jc w:val="center"/>
              <w:rPr>
                <w:sz w:val="20"/>
                <w:szCs w:val="20"/>
              </w:rPr>
            </w:pPr>
            <w:r>
              <w:rPr>
                <w:rFonts w:eastAsia="Calibri"/>
                <w:sz w:val="20"/>
                <w:szCs w:val="20"/>
              </w:rPr>
              <w:t>Nemokamai</w:t>
            </w:r>
          </w:p>
        </w:tc>
      </w:tr>
    </w:tbl>
    <w:p w14:paraId="3D2F8684" w14:textId="77777777" w:rsidR="00C00F74" w:rsidRDefault="00C101E5">
      <w:r>
        <w:t xml:space="preserve"> </w:t>
      </w:r>
    </w:p>
    <w:p w14:paraId="634856AF" w14:textId="77777777" w:rsidR="00C00F74" w:rsidRDefault="00C101E5">
      <w:r>
        <w:t>Pastaba. Minimalioji mėnesinė alga (MMA), https://www.tagidas.lt/savadai/9003/.</w:t>
      </w:r>
    </w:p>
    <w:p w14:paraId="69326485" w14:textId="77777777" w:rsidR="00C00F74" w:rsidRDefault="00C101E5">
      <w:pPr>
        <w:spacing w:after="160" w:line="259" w:lineRule="auto"/>
        <w:contextualSpacing w:val="0"/>
        <w:jc w:val="left"/>
      </w:pPr>
      <w:r>
        <w:br w:type="page"/>
      </w:r>
    </w:p>
    <w:p w14:paraId="4D472033" w14:textId="77777777" w:rsidR="00C00F74" w:rsidRDefault="00C101E5">
      <w:pPr>
        <w:tabs>
          <w:tab w:val="left" w:pos="993"/>
          <w:tab w:val="left" w:pos="1134"/>
        </w:tabs>
        <w:spacing w:after="160" w:line="259" w:lineRule="auto"/>
        <w:ind w:left="6238" w:hanging="851"/>
        <w:jc w:val="left"/>
      </w:pPr>
      <w:r>
        <w:lastRenderedPageBreak/>
        <w:t>PATVIRTINTA</w:t>
      </w:r>
    </w:p>
    <w:p w14:paraId="3CAB3538" w14:textId="77777777" w:rsidR="00C00F74" w:rsidRDefault="00C101E5">
      <w:pPr>
        <w:ind w:left="5387"/>
        <w:jc w:val="left"/>
      </w:pPr>
      <w:r>
        <w:t>Panevėžio miesto savivaldybės tarybos</w:t>
      </w:r>
    </w:p>
    <w:p w14:paraId="0F258661" w14:textId="671BB544" w:rsidR="00C00F74" w:rsidRDefault="00E50C61" w:rsidP="00E50C61">
      <w:pPr>
        <w:ind w:left="6683" w:hanging="1296"/>
        <w:jc w:val="left"/>
      </w:pPr>
      <w:r>
        <w:t xml:space="preserve">2025 m. gegužės 29 d. </w:t>
      </w:r>
      <w:r w:rsidR="00C101E5">
        <w:t>sprendimu Nr.</w:t>
      </w:r>
      <w:r>
        <w:t xml:space="preserve"> 1-161</w:t>
      </w:r>
      <w:r w:rsidR="00C101E5">
        <w:t xml:space="preserve"> </w:t>
      </w:r>
    </w:p>
    <w:p w14:paraId="2DA0F355" w14:textId="77777777" w:rsidR="00C00F74" w:rsidRDefault="00C00F74">
      <w:pPr>
        <w:spacing w:after="25" w:line="259" w:lineRule="auto"/>
        <w:ind w:left="10"/>
        <w:jc w:val="center"/>
        <w:rPr>
          <w:rFonts w:eastAsia="Times New Roman" w:cs="Times New Roman"/>
          <w:b/>
        </w:rPr>
      </w:pPr>
    </w:p>
    <w:p w14:paraId="12A3D148" w14:textId="77777777" w:rsidR="00C00F74" w:rsidRDefault="00C101E5">
      <w:pPr>
        <w:spacing w:after="25" w:line="259" w:lineRule="auto"/>
        <w:ind w:left="10"/>
        <w:jc w:val="center"/>
      </w:pPr>
      <w:r>
        <w:rPr>
          <w:rFonts w:eastAsia="Times New Roman" w:cs="Times New Roman"/>
          <w:b/>
        </w:rPr>
        <w:t xml:space="preserve">ATLYGINIMO UŽ PANEVĖŽIO MIESTO SAVIVALDYBĖS NEFORMALIOJO VAIKŲ ŠVIETIMO ĮSTAIGOSE IR PANEVĖŽIO ŠVIETIMO CENTRO PADALINIUOSE-SKYRIUOSE TEIKIAMAS NEFORMALIOJO ŠVIETIMO </w:t>
      </w:r>
    </w:p>
    <w:p w14:paraId="31A082FC" w14:textId="77777777" w:rsidR="00C00F74" w:rsidRDefault="00C101E5">
      <w:pPr>
        <w:spacing w:line="259" w:lineRule="auto"/>
        <w:ind w:left="10" w:right="6"/>
        <w:jc w:val="center"/>
      </w:pPr>
      <w:r>
        <w:rPr>
          <w:rFonts w:eastAsia="Times New Roman" w:cs="Times New Roman"/>
          <w:b/>
        </w:rPr>
        <w:t xml:space="preserve">PASLAUGAS MOKĖJIMO TVARKOS APRAŠAS </w:t>
      </w:r>
    </w:p>
    <w:p w14:paraId="75CDD07D" w14:textId="77777777" w:rsidR="00C00F74" w:rsidRDefault="00C00F74">
      <w:pPr>
        <w:jc w:val="center"/>
        <w:rPr>
          <w:b/>
        </w:rPr>
      </w:pPr>
    </w:p>
    <w:p w14:paraId="73C44E88" w14:textId="77777777" w:rsidR="00C00F74" w:rsidRDefault="00C101E5">
      <w:pPr>
        <w:jc w:val="center"/>
        <w:rPr>
          <w:b/>
        </w:rPr>
      </w:pPr>
      <w:r>
        <w:rPr>
          <w:b/>
        </w:rPr>
        <w:t>I SKYRIUS</w:t>
      </w:r>
    </w:p>
    <w:p w14:paraId="4D05B2D0" w14:textId="77777777" w:rsidR="00C00F74" w:rsidRDefault="00C101E5">
      <w:pPr>
        <w:jc w:val="center"/>
        <w:rPr>
          <w:b/>
        </w:rPr>
      </w:pPr>
      <w:r>
        <w:rPr>
          <w:b/>
        </w:rPr>
        <w:t>BENDROSIOS NUOSTATOS</w:t>
      </w:r>
    </w:p>
    <w:p w14:paraId="6EA9B5B1" w14:textId="77777777" w:rsidR="00C00F74" w:rsidRDefault="00C101E5">
      <w:pPr>
        <w:spacing w:after="157" w:line="259" w:lineRule="auto"/>
        <w:ind w:left="52"/>
        <w:jc w:val="center"/>
      </w:pPr>
      <w:r>
        <w:t xml:space="preserve"> </w:t>
      </w:r>
    </w:p>
    <w:p w14:paraId="7FAC4939" w14:textId="4228DEEA" w:rsidR="00C00F74" w:rsidRDefault="00C101E5">
      <w:pPr>
        <w:numPr>
          <w:ilvl w:val="0"/>
          <w:numId w:val="1"/>
        </w:numPr>
        <w:tabs>
          <w:tab w:val="left" w:pos="1134"/>
        </w:tabs>
        <w:ind w:left="0" w:firstLine="851"/>
        <w:contextualSpacing w:val="0"/>
        <w:rPr>
          <w:rFonts w:eastAsia="Times New Roman" w:cs="Times New Roman"/>
          <w:color w:val="000000"/>
          <w:kern w:val="0"/>
          <w:szCs w:val="24"/>
          <w:lang w:eastAsia="lt-LT"/>
          <w14:ligatures w14:val="none"/>
        </w:rPr>
      </w:pPr>
      <w:r>
        <w:rPr>
          <w:rFonts w:eastAsia="Times New Roman" w:cs="Times New Roman"/>
          <w:color w:val="000000"/>
          <w:kern w:val="0"/>
          <w:szCs w:val="24"/>
          <w:lang w:eastAsia="lt-LT"/>
          <w14:ligatures w14:val="none"/>
        </w:rPr>
        <w:t xml:space="preserve">Atlyginimo už Panevėžio miesto savivaldybės neformaliojo vaikų švietimo įstaigose ir Panevėžio švietimo centro padaliniuose-skyriuose teikiamas neformaliojo švietimo paslaugas mokėjimo tvarkos aprašas (toliau – Aprašas) reglamentuoja atlyginimo už </w:t>
      </w:r>
      <w:r>
        <w:rPr>
          <w:color w:val="000000"/>
        </w:rPr>
        <w:t>Panevėžio dailės mokyklos, Panevėžio Broniaus Vaidučio Kutavičiaus muzikos mokyklos, Panevėžio gamtos mokyklos, Panevėžio moksleivių namų ir Panevėžio švietimo centro padalinių-skyrių Panevėžio robotikos centro „RoboLabas“ ir Panevėžio regioninio STEAM atviros prieigos centro (toliau – Mokykla)</w:t>
      </w:r>
      <w:r>
        <w:rPr>
          <w:rFonts w:eastAsia="Times New Roman" w:cs="Times New Roman"/>
          <w:color w:val="000000"/>
          <w:kern w:val="0"/>
          <w:szCs w:val="24"/>
          <w:lang w:eastAsia="lt-LT"/>
          <w14:ligatures w14:val="none"/>
        </w:rPr>
        <w:t xml:space="preserve"> teikiamas formalųjį švietimą papildančio ugdymo ir neformaliojo vaikų ir suaugusiųjų švietimo paslaugas mokėjimo tvarką.  </w:t>
      </w:r>
    </w:p>
    <w:p w14:paraId="0F820EB7" w14:textId="77777777" w:rsidR="00C00F74" w:rsidRDefault="00C101E5">
      <w:pPr>
        <w:numPr>
          <w:ilvl w:val="0"/>
          <w:numId w:val="1"/>
        </w:numPr>
        <w:tabs>
          <w:tab w:val="left" w:pos="1134"/>
        </w:tabs>
        <w:ind w:left="0" w:firstLine="851"/>
        <w:contextualSpacing w:val="0"/>
        <w:rPr>
          <w:rFonts w:eastAsia="Times New Roman" w:cs="Times New Roman"/>
          <w:color w:val="000000"/>
          <w:kern w:val="0"/>
          <w:szCs w:val="24"/>
          <w:lang w:eastAsia="lt-LT"/>
          <w14:ligatures w14:val="none"/>
        </w:rPr>
      </w:pPr>
      <w:r>
        <w:rPr>
          <w:rFonts w:eastAsia="Times New Roman" w:cs="Times New Roman"/>
          <w:color w:val="000000"/>
          <w:kern w:val="0"/>
          <w:szCs w:val="24"/>
          <w:lang w:eastAsia="lt-LT"/>
          <w14:ligatures w14:val="none"/>
        </w:rPr>
        <w:t xml:space="preserve">Mokykla atlyginimo dydį perskaičiuoja kiekvienų metų rugsėjo 1 d. pagal tų metų Lietuvos Respublikos Vyriausybės nustatytą minimaliosios mėnesinės algos dydį. Atlyginimo dydis skelbiamas Panevėžio miesto savivaldybės ir Mokyklos interneto svetainėse.  </w:t>
      </w:r>
    </w:p>
    <w:p w14:paraId="0B7B3177" w14:textId="77777777" w:rsidR="00C00F74" w:rsidRDefault="00C101E5">
      <w:pPr>
        <w:numPr>
          <w:ilvl w:val="0"/>
          <w:numId w:val="1"/>
        </w:numPr>
        <w:tabs>
          <w:tab w:val="left" w:pos="1134"/>
        </w:tabs>
        <w:ind w:left="0" w:firstLine="851"/>
        <w:contextualSpacing w:val="0"/>
        <w:rPr>
          <w:rFonts w:eastAsia="Times New Roman" w:cs="Times New Roman"/>
          <w:color w:val="000000"/>
          <w:kern w:val="0"/>
          <w:szCs w:val="24"/>
          <w:lang w:eastAsia="lt-LT"/>
          <w14:ligatures w14:val="none"/>
        </w:rPr>
      </w:pPr>
      <w:r>
        <w:rPr>
          <w:rFonts w:eastAsia="Times New Roman" w:cs="Times New Roman"/>
          <w:color w:val="000000"/>
          <w:kern w:val="0"/>
          <w:szCs w:val="24"/>
          <w:lang w:eastAsia="lt-LT"/>
          <w14:ligatures w14:val="none"/>
        </w:rPr>
        <w:t>Atlyginimo dydis, perskaičiuotas į eurus, apvalinamas taip: 49 ir mažiau centų apvalinami mažinant (atmetant), 50 ir daugiau centų – didinant iki euro.</w:t>
      </w:r>
    </w:p>
    <w:p w14:paraId="02B1F9CD" w14:textId="001537F8" w:rsidR="00C00F74" w:rsidRDefault="00C00F74">
      <w:pPr>
        <w:spacing w:line="259" w:lineRule="auto"/>
        <w:ind w:left="1297"/>
        <w:jc w:val="left"/>
      </w:pPr>
    </w:p>
    <w:p w14:paraId="00C8E539" w14:textId="77777777" w:rsidR="00C00F74" w:rsidRDefault="00C101E5">
      <w:pPr>
        <w:jc w:val="center"/>
        <w:rPr>
          <w:b/>
        </w:rPr>
      </w:pPr>
      <w:r>
        <w:rPr>
          <w:b/>
        </w:rPr>
        <w:t xml:space="preserve">II SKYRIUS </w:t>
      </w:r>
    </w:p>
    <w:p w14:paraId="360E7495" w14:textId="77777777" w:rsidR="00C00F74" w:rsidRDefault="00C101E5">
      <w:pPr>
        <w:jc w:val="center"/>
        <w:rPr>
          <w:b/>
        </w:rPr>
      </w:pPr>
      <w:r>
        <w:rPr>
          <w:b/>
        </w:rPr>
        <w:t xml:space="preserve">ATLYGINIMO MOKĖJIMO TVARKA  </w:t>
      </w:r>
    </w:p>
    <w:p w14:paraId="639B3D6E" w14:textId="77777777" w:rsidR="00C00F74" w:rsidRDefault="00C101E5">
      <w:pPr>
        <w:spacing w:after="8" w:line="259" w:lineRule="auto"/>
        <w:ind w:left="52"/>
        <w:jc w:val="center"/>
      </w:pPr>
      <w:r>
        <w:rPr>
          <w:rFonts w:eastAsia="Times New Roman" w:cs="Times New Roman"/>
          <w:b/>
        </w:rPr>
        <w:t xml:space="preserve"> </w:t>
      </w:r>
    </w:p>
    <w:p w14:paraId="559092BB" w14:textId="77777777" w:rsidR="00C00F74" w:rsidRDefault="00C101E5">
      <w:pPr>
        <w:numPr>
          <w:ilvl w:val="0"/>
          <w:numId w:val="1"/>
        </w:numPr>
        <w:tabs>
          <w:tab w:val="left" w:pos="1134"/>
        </w:tabs>
        <w:ind w:left="0" w:firstLine="851"/>
        <w:contextualSpacing w:val="0"/>
        <w:rPr>
          <w:color w:val="000000"/>
        </w:rPr>
      </w:pPr>
      <w:r>
        <w:rPr>
          <w:color w:val="000000"/>
        </w:rPr>
        <w:t xml:space="preserve">Atlyginimas skaičiuojamas už einamąjį mėnesį. </w:t>
      </w:r>
    </w:p>
    <w:p w14:paraId="2659EDBF" w14:textId="34FC8503" w:rsidR="00C00F74" w:rsidRDefault="00C101E5">
      <w:pPr>
        <w:numPr>
          <w:ilvl w:val="0"/>
          <w:numId w:val="1"/>
        </w:numPr>
        <w:tabs>
          <w:tab w:val="left" w:pos="1134"/>
        </w:tabs>
        <w:ind w:left="0" w:firstLine="851"/>
        <w:contextualSpacing w:val="0"/>
        <w:rPr>
          <w:color w:val="000000"/>
        </w:rPr>
      </w:pPr>
      <w:r>
        <w:rPr>
          <w:color w:val="000000"/>
        </w:rPr>
        <w:t>Atlyginimas mokamas kiekvieną mėnesį ir turi būti sumokėtas iki einamojo mėnesio 27 dienos. Jei atlyginimas nesumokamas iki nurodytos einamojo mėnesio dienos, mokyklos įgaliotas asmuo informuoja mokinį, mokinio tėvus (globėjus, rūpintojus) apie skolos susidarymą. Nesumokėjus atlyginimo per artimiausias 10 dienų tėvai (globėjai, rūpintojai) ar suaugę asmenys raštiškai informuojami apie susidariusią skolą ir apie galimą sutarties nutraukimą.</w:t>
      </w:r>
    </w:p>
    <w:p w14:paraId="63027BBF" w14:textId="77777777" w:rsidR="00C00F74" w:rsidRDefault="00C101E5">
      <w:pPr>
        <w:numPr>
          <w:ilvl w:val="0"/>
          <w:numId w:val="1"/>
        </w:numPr>
        <w:tabs>
          <w:tab w:val="left" w:pos="1134"/>
          <w:tab w:val="left" w:pos="1276"/>
        </w:tabs>
        <w:ind w:left="0" w:firstLine="851"/>
        <w:contextualSpacing w:val="0"/>
        <w:rPr>
          <w:color w:val="000000"/>
        </w:rPr>
      </w:pPr>
      <w:r>
        <w:rPr>
          <w:color w:val="000000"/>
        </w:rPr>
        <w:t xml:space="preserve">Atlyginimas pervedamas į lankomos Mokyklos nurodytą sąskaitą. </w:t>
      </w:r>
    </w:p>
    <w:p w14:paraId="7152338A" w14:textId="77777777" w:rsidR="00C00F74" w:rsidRDefault="00C101E5">
      <w:pPr>
        <w:numPr>
          <w:ilvl w:val="0"/>
          <w:numId w:val="1"/>
        </w:numPr>
        <w:tabs>
          <w:tab w:val="left" w:pos="1134"/>
        </w:tabs>
        <w:ind w:left="0" w:firstLine="851"/>
        <w:contextualSpacing w:val="0"/>
        <w:rPr>
          <w:color w:val="000000"/>
        </w:rPr>
      </w:pPr>
      <w:r>
        <w:rPr>
          <w:color w:val="000000"/>
        </w:rPr>
        <w:t>Atlyginimas už paslaugas gali būti mokamas kas mėnesį, už pusmetį ar už visus mokslo metus iš karto, nurodant mokinio vardą, pavardę, programą, laikotarpį, už kurį mokamas atlyginimas.</w:t>
      </w:r>
    </w:p>
    <w:p w14:paraId="79901736" w14:textId="77777777" w:rsidR="00C00F74" w:rsidRDefault="00C00F74">
      <w:pPr>
        <w:jc w:val="center"/>
      </w:pPr>
    </w:p>
    <w:p w14:paraId="27D769FB" w14:textId="77777777" w:rsidR="00C00F74" w:rsidRDefault="00C101E5">
      <w:pPr>
        <w:jc w:val="center"/>
        <w:rPr>
          <w:b/>
        </w:rPr>
      </w:pPr>
      <w:r>
        <w:rPr>
          <w:b/>
        </w:rPr>
        <w:t xml:space="preserve">III SKYRIUS </w:t>
      </w:r>
    </w:p>
    <w:p w14:paraId="0E09834D" w14:textId="77777777" w:rsidR="00C00F74" w:rsidRDefault="00C101E5">
      <w:pPr>
        <w:jc w:val="center"/>
      </w:pPr>
      <w:r>
        <w:rPr>
          <w:b/>
        </w:rPr>
        <w:t>ATLEIDIMAS NUO ATLYGINIMO IR JO SUMAŽINIMAS</w:t>
      </w:r>
      <w:r>
        <w:t xml:space="preserve"> </w:t>
      </w:r>
    </w:p>
    <w:p w14:paraId="1DFECE88" w14:textId="77777777" w:rsidR="00C00F74" w:rsidRDefault="00C101E5">
      <w:pPr>
        <w:spacing w:after="9" w:line="259" w:lineRule="auto"/>
        <w:ind w:left="548"/>
        <w:jc w:val="left"/>
      </w:pPr>
      <w:r>
        <w:t xml:space="preserve"> </w:t>
      </w:r>
    </w:p>
    <w:p w14:paraId="5345FBAA" w14:textId="77777777" w:rsidR="00C00F74" w:rsidRDefault="00C101E5">
      <w:pPr>
        <w:numPr>
          <w:ilvl w:val="0"/>
          <w:numId w:val="1"/>
        </w:numPr>
        <w:tabs>
          <w:tab w:val="left" w:pos="1134"/>
        </w:tabs>
        <w:ind w:left="0" w:firstLine="851"/>
        <w:contextualSpacing w:val="0"/>
        <w:rPr>
          <w:color w:val="000000"/>
        </w:rPr>
      </w:pPr>
      <w:r>
        <w:rPr>
          <w:color w:val="000000"/>
        </w:rPr>
        <w:t xml:space="preserve">Nuo atlyginimo atleidžiama: </w:t>
      </w:r>
    </w:p>
    <w:p w14:paraId="3ED494CE" w14:textId="77777777" w:rsidR="00C00F74" w:rsidRDefault="00C101E5">
      <w:pPr>
        <w:numPr>
          <w:ilvl w:val="1"/>
          <w:numId w:val="1"/>
        </w:numPr>
        <w:tabs>
          <w:tab w:val="left" w:pos="1134"/>
        </w:tabs>
        <w:ind w:left="0" w:firstLine="851"/>
        <w:contextualSpacing w:val="0"/>
        <w:rPr>
          <w:color w:val="000000"/>
        </w:rPr>
      </w:pPr>
      <w:r>
        <w:rPr>
          <w:color w:val="000000"/>
        </w:rPr>
        <w:t>Savivaldybės administracijos vaiko gerovės komisijos teikimu, kai Savivaldybės meras priėmė sprendimą dėl minimalios priežiūros priemonės (lankyti neformaliojo švietimo programą), koordinuotai teikiamų paslaugų skyrimo;</w:t>
      </w:r>
    </w:p>
    <w:p w14:paraId="7C5D79D3" w14:textId="77777777" w:rsidR="00C00F74" w:rsidRDefault="00C101E5">
      <w:pPr>
        <w:numPr>
          <w:ilvl w:val="1"/>
          <w:numId w:val="1"/>
        </w:numPr>
        <w:tabs>
          <w:tab w:val="left" w:pos="1134"/>
        </w:tabs>
        <w:ind w:left="0" w:firstLine="851"/>
        <w:contextualSpacing w:val="0"/>
        <w:rPr>
          <w:color w:val="000000"/>
        </w:rPr>
      </w:pPr>
      <w:r>
        <w:rPr>
          <w:color w:val="000000"/>
        </w:rPr>
        <w:t>jei mokinys dėl ligos nelankė Mokyklos daugiau nei 3 savaites ir pateikė tėvų (globėjų, rūpintojų) rašytinį paaiškinimą;</w:t>
      </w:r>
    </w:p>
    <w:p w14:paraId="29178F70" w14:textId="77777777" w:rsidR="00C00F74" w:rsidRDefault="00C101E5">
      <w:pPr>
        <w:numPr>
          <w:ilvl w:val="1"/>
          <w:numId w:val="1"/>
        </w:numPr>
        <w:tabs>
          <w:tab w:val="left" w:pos="1134"/>
        </w:tabs>
        <w:ind w:left="0" w:firstLine="851"/>
        <w:contextualSpacing w:val="0"/>
        <w:rPr>
          <w:color w:val="000000"/>
        </w:rPr>
      </w:pPr>
      <w:r>
        <w:rPr>
          <w:color w:val="000000"/>
        </w:rPr>
        <w:t>jei daugiau nei 3 savaites programa nebuvo vykdoma dėl Mokykloje susidariusių svarbių priežasčių;</w:t>
      </w:r>
    </w:p>
    <w:p w14:paraId="07E671DD" w14:textId="77777777" w:rsidR="00C00F74" w:rsidRDefault="00C101E5">
      <w:pPr>
        <w:numPr>
          <w:ilvl w:val="1"/>
          <w:numId w:val="1"/>
        </w:numPr>
        <w:tabs>
          <w:tab w:val="left" w:pos="1134"/>
        </w:tabs>
        <w:ind w:left="0" w:firstLine="851"/>
        <w:contextualSpacing w:val="0"/>
        <w:rPr>
          <w:color w:val="000000"/>
        </w:rPr>
      </w:pPr>
      <w:r>
        <w:rPr>
          <w:color w:val="000000"/>
        </w:rPr>
        <w:t>mokinių vasaros atostogų metu.</w:t>
      </w:r>
    </w:p>
    <w:p w14:paraId="2EAAEB46" w14:textId="77777777" w:rsidR="00C00F74" w:rsidRDefault="00C101E5">
      <w:pPr>
        <w:numPr>
          <w:ilvl w:val="0"/>
          <w:numId w:val="1"/>
        </w:numPr>
        <w:tabs>
          <w:tab w:val="left" w:pos="1134"/>
        </w:tabs>
        <w:ind w:left="0" w:firstLine="851"/>
        <w:contextualSpacing w:val="0"/>
        <w:rPr>
          <w:color w:val="000000"/>
        </w:rPr>
      </w:pPr>
      <w:r>
        <w:rPr>
          <w:color w:val="000000"/>
        </w:rPr>
        <w:lastRenderedPageBreak/>
        <w:t>Atlyginimas mažinamas už pasiektus mokinio rezultatus šalies ir tarptautiniuose konkursuose:</w:t>
      </w:r>
    </w:p>
    <w:p w14:paraId="6E10BAE9" w14:textId="77777777" w:rsidR="00C00F74" w:rsidRDefault="00C101E5">
      <w:pPr>
        <w:numPr>
          <w:ilvl w:val="1"/>
          <w:numId w:val="1"/>
        </w:numPr>
        <w:tabs>
          <w:tab w:val="left" w:pos="1134"/>
          <w:tab w:val="left" w:pos="1560"/>
        </w:tabs>
        <w:ind w:left="0" w:firstLine="851"/>
        <w:contextualSpacing w:val="0"/>
        <w:rPr>
          <w:color w:val="000000"/>
        </w:rPr>
      </w:pPr>
      <w:r>
        <w:rPr>
          <w:color w:val="000000"/>
        </w:rPr>
        <w:t>mažinamas 100 procentų – gabiems mokiniams:</w:t>
      </w:r>
    </w:p>
    <w:p w14:paraId="12DF7EB9" w14:textId="77777777" w:rsidR="00C00F74" w:rsidRDefault="00C101E5">
      <w:pPr>
        <w:numPr>
          <w:ilvl w:val="2"/>
          <w:numId w:val="1"/>
        </w:numPr>
        <w:tabs>
          <w:tab w:val="left" w:pos="1418"/>
          <w:tab w:val="left" w:pos="1560"/>
        </w:tabs>
        <w:ind w:left="0" w:firstLine="851"/>
        <w:contextualSpacing w:val="0"/>
      </w:pPr>
      <w:r>
        <w:t xml:space="preserve">tarptautinių ir nacionalinių konkursų (išskyrus nuotolinius ir meno kolektyvų konkursus), olimpiadų (ir olimpiadų statusą turinčių konkursų) laimėtojams, besimokantiems pagal formalųjį švietimą papildančio ugdymo (toliau – FŠPU) programas: </w:t>
      </w:r>
    </w:p>
    <w:p w14:paraId="230D3F46" w14:textId="77777777" w:rsidR="00C00F74" w:rsidRDefault="00807728">
      <w:pPr>
        <w:numPr>
          <w:ilvl w:val="2"/>
          <w:numId w:val="1"/>
        </w:numPr>
        <w:tabs>
          <w:tab w:val="left" w:pos="1418"/>
          <w:tab w:val="left" w:pos="1560"/>
        </w:tabs>
        <w:ind w:left="0" w:firstLine="851"/>
        <w:contextualSpacing w:val="0"/>
      </w:pPr>
      <w:sdt>
        <w:sdtPr>
          <w:tag w:val="goog_rdk_35"/>
          <w:id w:val="-1849160817"/>
        </w:sdtPr>
        <w:sdtEndPr/>
        <w:sdtContent/>
      </w:sdt>
      <w:sdt>
        <w:sdtPr>
          <w:tag w:val="goog_rdk_36"/>
          <w:id w:val="-1493400865"/>
        </w:sdtPr>
        <w:sdtEndPr/>
        <w:sdtContent/>
      </w:sdt>
      <w:r w:rsidR="00C101E5">
        <w:t>GRAND PRIX, I vietos laimėtojui – už tris mėnesius;</w:t>
      </w:r>
    </w:p>
    <w:p w14:paraId="4E411F85" w14:textId="77777777" w:rsidR="00C00F74" w:rsidRDefault="00C101E5">
      <w:pPr>
        <w:numPr>
          <w:ilvl w:val="2"/>
          <w:numId w:val="1"/>
        </w:numPr>
        <w:tabs>
          <w:tab w:val="left" w:pos="1418"/>
          <w:tab w:val="left" w:pos="1560"/>
        </w:tabs>
        <w:ind w:left="0" w:firstLine="851"/>
        <w:contextualSpacing w:val="0"/>
      </w:pPr>
      <w:r>
        <w:t>II vietos laimėtojui ar tarptautinio dailės konkurso diplomantui – už du mėnesius;</w:t>
      </w:r>
    </w:p>
    <w:p w14:paraId="336308E9" w14:textId="77777777" w:rsidR="00C00F74" w:rsidRDefault="00C101E5">
      <w:pPr>
        <w:numPr>
          <w:ilvl w:val="2"/>
          <w:numId w:val="1"/>
        </w:numPr>
        <w:tabs>
          <w:tab w:val="left" w:pos="1418"/>
          <w:tab w:val="left" w:pos="1560"/>
        </w:tabs>
        <w:ind w:left="0" w:firstLine="851"/>
        <w:contextualSpacing w:val="0"/>
      </w:pPr>
      <w:r>
        <w:t>III vietos laimėtojui ar respublikinio dailės konkurso diplomantui – už vieną mėnesį;</w:t>
      </w:r>
    </w:p>
    <w:p w14:paraId="79599314" w14:textId="77777777" w:rsidR="00C00F74" w:rsidRDefault="00C101E5">
      <w:pPr>
        <w:numPr>
          <w:ilvl w:val="2"/>
          <w:numId w:val="1"/>
        </w:numPr>
        <w:tabs>
          <w:tab w:val="left" w:pos="1418"/>
          <w:tab w:val="left" w:pos="1560"/>
        </w:tabs>
        <w:ind w:left="0" w:firstLine="851"/>
        <w:contextualSpacing w:val="0"/>
      </w:pPr>
      <w:r>
        <w:t>surengusiems solinį koncertą (rečitalį) viešosiose erdvėse – už vieną mėnesį;</w:t>
      </w:r>
    </w:p>
    <w:p w14:paraId="7C6C6E8F" w14:textId="77777777" w:rsidR="00C00F74" w:rsidRDefault="00C101E5">
      <w:pPr>
        <w:numPr>
          <w:ilvl w:val="2"/>
          <w:numId w:val="1"/>
        </w:numPr>
        <w:tabs>
          <w:tab w:val="left" w:pos="1418"/>
          <w:tab w:val="left" w:pos="1560"/>
        </w:tabs>
        <w:ind w:left="0" w:firstLine="851"/>
        <w:contextualSpacing w:val="0"/>
      </w:pPr>
      <w:r>
        <w:t>surengusiems individualios kūrybos pristatymą viešosiose erdvėse (parodą, koncertą) – už vieną mėnesį;</w:t>
      </w:r>
    </w:p>
    <w:p w14:paraId="66DA4D5F" w14:textId="77777777" w:rsidR="00C00F74" w:rsidRDefault="00C101E5">
      <w:pPr>
        <w:numPr>
          <w:ilvl w:val="1"/>
          <w:numId w:val="1"/>
        </w:numPr>
        <w:tabs>
          <w:tab w:val="left" w:pos="1134"/>
          <w:tab w:val="left" w:pos="1560"/>
        </w:tabs>
        <w:ind w:left="0" w:firstLine="851"/>
        <w:contextualSpacing w:val="0"/>
        <w:rPr>
          <w:color w:val="000000"/>
        </w:rPr>
      </w:pPr>
      <w:r>
        <w:rPr>
          <w:color w:val="000000"/>
        </w:rPr>
        <w:t>mažinamas 80 procentų:</w:t>
      </w:r>
    </w:p>
    <w:p w14:paraId="5FD7253A" w14:textId="77777777" w:rsidR="00C00F74" w:rsidRDefault="00C101E5">
      <w:pPr>
        <w:numPr>
          <w:ilvl w:val="2"/>
          <w:numId w:val="1"/>
        </w:numPr>
        <w:tabs>
          <w:tab w:val="left" w:pos="1418"/>
          <w:tab w:val="left" w:pos="1560"/>
        </w:tabs>
        <w:ind w:left="0" w:firstLine="851"/>
        <w:contextualSpacing w:val="0"/>
      </w:pPr>
      <w:r>
        <w:t xml:space="preserve">mokiniams iš nepasiturinčių šeimų, gaunančių socialinę pašalpą, pateikus tai patvirtinančių dokumentų kopijas; </w:t>
      </w:r>
    </w:p>
    <w:p w14:paraId="5BBC1B9A" w14:textId="77777777" w:rsidR="00C00F74" w:rsidRDefault="00C101E5">
      <w:pPr>
        <w:numPr>
          <w:ilvl w:val="2"/>
          <w:numId w:val="1"/>
        </w:numPr>
        <w:tabs>
          <w:tab w:val="left" w:pos="1418"/>
          <w:tab w:val="left" w:pos="1560"/>
        </w:tabs>
        <w:ind w:left="0" w:firstLine="851"/>
        <w:contextualSpacing w:val="0"/>
      </w:pPr>
      <w:r>
        <w:t xml:space="preserve">mokiniams su negalia, pateikus tai patvirtinančių dokumentų kopijas;  </w:t>
      </w:r>
    </w:p>
    <w:p w14:paraId="5A7BD49C" w14:textId="77777777" w:rsidR="00C00F74" w:rsidRDefault="00C101E5">
      <w:pPr>
        <w:numPr>
          <w:ilvl w:val="1"/>
          <w:numId w:val="1"/>
        </w:numPr>
        <w:tabs>
          <w:tab w:val="left" w:pos="1134"/>
          <w:tab w:val="left" w:pos="1560"/>
        </w:tabs>
        <w:ind w:left="0" w:firstLine="851"/>
        <w:contextualSpacing w:val="0"/>
      </w:pPr>
      <w:r>
        <w:rPr>
          <w:color w:val="000000"/>
        </w:rPr>
        <w:t>mažinamas</w:t>
      </w:r>
      <w:r>
        <w:t xml:space="preserve"> 50 procentų:</w:t>
      </w:r>
    </w:p>
    <w:p w14:paraId="5B985390" w14:textId="77777777" w:rsidR="00C00F74" w:rsidRDefault="00807728">
      <w:pPr>
        <w:numPr>
          <w:ilvl w:val="2"/>
          <w:numId w:val="1"/>
        </w:numPr>
        <w:tabs>
          <w:tab w:val="left" w:pos="1418"/>
          <w:tab w:val="left" w:pos="1560"/>
        </w:tabs>
        <w:ind w:left="0" w:firstLine="851"/>
        <w:contextualSpacing w:val="0"/>
      </w:pPr>
      <w:sdt>
        <w:sdtPr>
          <w:tag w:val="goog_rdk_37"/>
          <w:id w:val="41482480"/>
        </w:sdtPr>
        <w:sdtEndPr/>
        <w:sdtContent/>
      </w:sdt>
      <w:sdt>
        <w:sdtPr>
          <w:tag w:val="goog_rdk_38"/>
          <w:id w:val="1904329377"/>
        </w:sdtPr>
        <w:sdtEndPr/>
        <w:sdtContent/>
      </w:sdt>
      <w:r w:rsidR="00C101E5">
        <w:t xml:space="preserve"> mokiniams iš šeimų, kuriose auga trys ir daugiau vaikų ir (ar) pilnamečiai vaikai iki 21 metų, jei jie nedirba, neturi savo vaikų ir mokosi bendrojo ugdymo mokykloje, profesinėje mokykloje pagal formaliojo ugdymo programą pirmajai kvalifikacijai įgyti ar studijuoja aukštojoje mokykloje pagal nuolatinės studijų formos programą (pateikus tai patvirtinančių dokumentų skenuotas kopijas);</w:t>
      </w:r>
    </w:p>
    <w:p w14:paraId="7DCAB4EB" w14:textId="77777777" w:rsidR="00C00F74" w:rsidRDefault="00C101E5">
      <w:pPr>
        <w:numPr>
          <w:ilvl w:val="2"/>
          <w:numId w:val="1"/>
        </w:numPr>
        <w:tabs>
          <w:tab w:val="left" w:pos="1418"/>
          <w:tab w:val="left" w:pos="1560"/>
        </w:tabs>
        <w:ind w:left="0" w:firstLine="851"/>
        <w:contextualSpacing w:val="0"/>
      </w:pPr>
      <w:r>
        <w:t>mokiniams gyvenantiems bendruomeniniuose globos namuose.</w:t>
      </w:r>
    </w:p>
    <w:p w14:paraId="648B9401" w14:textId="77777777" w:rsidR="00C00F74" w:rsidRDefault="00C101E5">
      <w:pPr>
        <w:numPr>
          <w:ilvl w:val="0"/>
          <w:numId w:val="1"/>
        </w:numPr>
        <w:tabs>
          <w:tab w:val="left" w:pos="1134"/>
        </w:tabs>
        <w:ind w:left="0" w:firstLine="851"/>
        <w:contextualSpacing w:val="0"/>
      </w:pPr>
      <w:r>
        <w:rPr>
          <w:color w:val="000000"/>
        </w:rPr>
        <w:t>Tėvai (globėjai, rūpintojai), kurių vaikams gali būti taikomos Savivaldybės tarybos sprendimu nustatytos lengvatos, mokyklos vadovui turi pateikti įrodančius dokumentus. Tėvams (globėjams, rūpintojams) nepateikus lengvatoms taikyti reikiamų dokumentų, atlyginimo dydis skaičiuojamas bendra tvarka. Dokumentus pateikus pavėluotai, mokestis už praėjusį laiką neperskaičiuojamas, išskyrus atvejus, kai socialinė pašalpa yra paskirta už praėjusį laikotarpį.</w:t>
      </w:r>
    </w:p>
    <w:p w14:paraId="59B9D549" w14:textId="77777777" w:rsidR="00C00F74" w:rsidRDefault="00C101E5">
      <w:pPr>
        <w:numPr>
          <w:ilvl w:val="0"/>
          <w:numId w:val="1"/>
        </w:numPr>
        <w:tabs>
          <w:tab w:val="left" w:pos="1134"/>
        </w:tabs>
        <w:ind w:left="0" w:firstLine="851"/>
        <w:contextualSpacing w:val="0"/>
        <w:rPr>
          <w:color w:val="000000"/>
        </w:rPr>
      </w:pPr>
      <w:r>
        <w:rPr>
          <w:color w:val="000000"/>
        </w:rPr>
        <w:t xml:space="preserve">Tėvai (globėjai, rūpintojai), kuriems gali būti taikomos Aprašo 10 punkte nustatytos lengvatos, kiekvienais mokslo metais iki pirmojo mokslo metų mėnesio 10 d. arba, pasikeitus finansinei šeimos padėčiai ar pradėjus mokiniui lankyti Mokyklą vėliau nei pirmąjį mokslo metų mėnesį, iki einamojo mėnesio 10 d. Mokyklos vadovui pateikia atitinkamų dokumentų kopijas: </w:t>
      </w:r>
    </w:p>
    <w:p w14:paraId="49383313" w14:textId="77777777" w:rsidR="00C00F74" w:rsidRDefault="00C101E5">
      <w:pPr>
        <w:numPr>
          <w:ilvl w:val="1"/>
          <w:numId w:val="1"/>
        </w:numPr>
        <w:tabs>
          <w:tab w:val="left" w:pos="1418"/>
        </w:tabs>
        <w:ind w:left="0" w:firstLine="851"/>
        <w:contextualSpacing w:val="0"/>
        <w:rPr>
          <w:color w:val="000000"/>
        </w:rPr>
      </w:pPr>
      <w:r>
        <w:rPr>
          <w:color w:val="000000"/>
        </w:rPr>
        <w:t xml:space="preserve">prašymą; </w:t>
      </w:r>
    </w:p>
    <w:p w14:paraId="0C0C4CC7" w14:textId="77777777" w:rsidR="00C00F74" w:rsidRDefault="00C101E5">
      <w:pPr>
        <w:numPr>
          <w:ilvl w:val="1"/>
          <w:numId w:val="1"/>
        </w:numPr>
        <w:tabs>
          <w:tab w:val="left" w:pos="1418"/>
        </w:tabs>
        <w:ind w:left="0" w:firstLine="851"/>
        <w:contextualSpacing w:val="0"/>
        <w:rPr>
          <w:color w:val="000000"/>
        </w:rPr>
      </w:pPr>
      <w:r>
        <w:rPr>
          <w:color w:val="000000"/>
        </w:rPr>
        <w:t xml:space="preserve">pažymą apie gaunamą socialinę pašalpą; </w:t>
      </w:r>
    </w:p>
    <w:p w14:paraId="4EEA1ED9" w14:textId="77777777" w:rsidR="00C00F74" w:rsidRDefault="00C101E5">
      <w:pPr>
        <w:numPr>
          <w:ilvl w:val="1"/>
          <w:numId w:val="1"/>
        </w:numPr>
        <w:tabs>
          <w:tab w:val="left" w:pos="1418"/>
        </w:tabs>
        <w:ind w:left="0" w:firstLine="851"/>
        <w:contextualSpacing w:val="0"/>
        <w:rPr>
          <w:color w:val="000000"/>
        </w:rPr>
      </w:pPr>
      <w:r>
        <w:rPr>
          <w:color w:val="000000"/>
        </w:rPr>
        <w:t xml:space="preserve">neįgalumą patvirtinančius dokumentus;  </w:t>
      </w:r>
    </w:p>
    <w:p w14:paraId="06AE3949" w14:textId="77777777" w:rsidR="00C00F74" w:rsidRDefault="00C101E5">
      <w:pPr>
        <w:numPr>
          <w:ilvl w:val="1"/>
          <w:numId w:val="1"/>
        </w:numPr>
        <w:tabs>
          <w:tab w:val="left" w:pos="1418"/>
        </w:tabs>
        <w:ind w:left="0" w:firstLine="851"/>
        <w:contextualSpacing w:val="0"/>
        <w:rPr>
          <w:color w:val="000000"/>
        </w:rPr>
      </w:pPr>
      <w:r>
        <w:rPr>
          <w:color w:val="000000"/>
        </w:rPr>
        <w:t xml:space="preserve">dokumentus, patvirtinančius globos namų, socializacijos centro auklėtinio ar globotinio, gyvenančio šeimynoje, statusą;  </w:t>
      </w:r>
    </w:p>
    <w:p w14:paraId="64D85FD0" w14:textId="77777777" w:rsidR="00C00F74" w:rsidRDefault="00C101E5">
      <w:pPr>
        <w:numPr>
          <w:ilvl w:val="1"/>
          <w:numId w:val="1"/>
        </w:numPr>
        <w:tabs>
          <w:tab w:val="left" w:pos="1418"/>
        </w:tabs>
        <w:ind w:left="0" w:firstLine="851"/>
        <w:contextualSpacing w:val="0"/>
        <w:rPr>
          <w:color w:val="000000"/>
        </w:rPr>
      </w:pPr>
      <w:r>
        <w:rPr>
          <w:color w:val="000000"/>
        </w:rPr>
        <w:t xml:space="preserve">dokumentus, patvirtinančius, kad šeimoje auga trys ir daugiau vaikų.  </w:t>
      </w:r>
    </w:p>
    <w:p w14:paraId="5BE0948A" w14:textId="77777777" w:rsidR="00C00F74" w:rsidRDefault="00C101E5">
      <w:pPr>
        <w:numPr>
          <w:ilvl w:val="0"/>
          <w:numId w:val="1"/>
        </w:numPr>
        <w:tabs>
          <w:tab w:val="left" w:pos="1134"/>
        </w:tabs>
        <w:ind w:left="0" w:firstLine="851"/>
        <w:contextualSpacing w:val="0"/>
        <w:rPr>
          <w:color w:val="000000"/>
        </w:rPr>
      </w:pPr>
      <w:r>
        <w:rPr>
          <w:color w:val="000000"/>
        </w:rPr>
        <w:t xml:space="preserve">Tėvai (globėjai, rūpintojai) atsako už pateiktų dokumentų duomenų teisingumą. Jei tėvai (globėjai, rūpintojai) laiku nepateikia reikiamų dokumentų, Atlyginimas skaičiuojamas netaikant lengvatos. </w:t>
      </w:r>
    </w:p>
    <w:p w14:paraId="51AF5423" w14:textId="77777777" w:rsidR="00C00F74" w:rsidRDefault="00C101E5">
      <w:pPr>
        <w:numPr>
          <w:ilvl w:val="0"/>
          <w:numId w:val="1"/>
        </w:numPr>
        <w:tabs>
          <w:tab w:val="left" w:pos="1134"/>
        </w:tabs>
        <w:ind w:left="0" w:firstLine="851"/>
        <w:contextualSpacing w:val="0"/>
        <w:rPr>
          <w:color w:val="000000"/>
        </w:rPr>
      </w:pPr>
      <w:r>
        <w:rPr>
          <w:color w:val="000000"/>
        </w:rPr>
        <w:t>Atleidimas nuo atlyginimo ar lengvatų taikymas įforminamas Mokyklos vadovo įsakymu.</w:t>
      </w:r>
    </w:p>
    <w:p w14:paraId="4E3BB308" w14:textId="77777777" w:rsidR="00C00F74" w:rsidRDefault="00C101E5">
      <w:pPr>
        <w:numPr>
          <w:ilvl w:val="0"/>
          <w:numId w:val="1"/>
        </w:numPr>
        <w:tabs>
          <w:tab w:val="left" w:pos="1276"/>
        </w:tabs>
        <w:ind w:left="0" w:firstLine="851"/>
        <w:contextualSpacing w:val="0"/>
      </w:pPr>
      <w:r>
        <w:rPr>
          <w:color w:val="000000"/>
        </w:rPr>
        <w:t>Atlyginimo</w:t>
      </w:r>
      <w:r>
        <w:t xml:space="preserve"> lengvatos (atleidimas nuo </w:t>
      </w:r>
      <w:r>
        <w:rPr>
          <w:color w:val="000000"/>
        </w:rPr>
        <w:t>atlyginimo</w:t>
      </w:r>
      <w:r>
        <w:t xml:space="preserve"> ar jo sumažinimas) netaikomos suaugusiems </w:t>
      </w:r>
      <w:r>
        <w:rPr>
          <w:color w:val="000000"/>
        </w:rPr>
        <w:t>asmenims</w:t>
      </w:r>
      <w:r>
        <w:t xml:space="preserve">, besimokantiems pagal suaugusiųjų neformaliojo švietimo programas.  </w:t>
      </w:r>
    </w:p>
    <w:p w14:paraId="63501E75" w14:textId="77777777" w:rsidR="00C00F74" w:rsidRDefault="00C101E5">
      <w:pPr>
        <w:numPr>
          <w:ilvl w:val="0"/>
          <w:numId w:val="1"/>
        </w:numPr>
        <w:tabs>
          <w:tab w:val="left" w:pos="1276"/>
        </w:tabs>
        <w:ind w:left="0" w:firstLine="851"/>
        <w:contextualSpacing w:val="0"/>
        <w:rPr>
          <w:color w:val="000000"/>
        </w:rPr>
      </w:pPr>
      <w:r>
        <w:rPr>
          <w:color w:val="000000"/>
        </w:rPr>
        <w:t>Atlyginimas grąžinamas, jei mokinys ne vėliau kaip iki einamojo mėnesio 1 d. išbraukiamas iš mokinių sąrašų ir įskaityti atlyginimą už kitą mėnesį nėra galimybės, taip pat jei dėl pateisinamų priežasčių laiku nebuvo pateikti reikiami dokumentai, patvirtinantys teisę į atlyginimo lengvatą, atlyginimas buvo mokamas bendrąja tvarka ir įskaityti atlyginimą už kitus mėnesius nėra galimybės.</w:t>
      </w:r>
    </w:p>
    <w:p w14:paraId="13AD6591" w14:textId="77777777" w:rsidR="00C00F74" w:rsidRDefault="00C101E5">
      <w:pPr>
        <w:numPr>
          <w:ilvl w:val="0"/>
          <w:numId w:val="1"/>
        </w:numPr>
        <w:tabs>
          <w:tab w:val="left" w:pos="1276"/>
        </w:tabs>
        <w:ind w:left="0" w:firstLine="851"/>
        <w:contextualSpacing w:val="0"/>
        <w:rPr>
          <w:color w:val="000000"/>
        </w:rPr>
      </w:pPr>
      <w:r>
        <w:rPr>
          <w:color w:val="000000"/>
        </w:rPr>
        <w:tab/>
        <w:t>Mokyklos už neformaliojo švietimo programų vykdymą ir neformaliojo švietimo veiklų įgyvendinimą gautas lėšas naudoja atsižvelgdamos į Mokyklos poreikius:</w:t>
      </w:r>
    </w:p>
    <w:p w14:paraId="7E1E3733" w14:textId="77777777" w:rsidR="00C00F74" w:rsidRDefault="00C101E5">
      <w:pPr>
        <w:numPr>
          <w:ilvl w:val="1"/>
          <w:numId w:val="1"/>
        </w:numPr>
        <w:tabs>
          <w:tab w:val="left" w:pos="1418"/>
        </w:tabs>
        <w:ind w:left="0" w:firstLine="851"/>
        <w:contextualSpacing w:val="0"/>
        <w:rPr>
          <w:color w:val="000000"/>
        </w:rPr>
      </w:pPr>
      <w:r>
        <w:rPr>
          <w:color w:val="000000"/>
        </w:rPr>
        <w:lastRenderedPageBreak/>
        <w:t xml:space="preserve">prekėms ir kitoms paslaugoms (pagal išlaidų klasifikatorių); </w:t>
      </w:r>
    </w:p>
    <w:p w14:paraId="6838A353" w14:textId="77777777" w:rsidR="00C00F74" w:rsidRDefault="00C101E5">
      <w:pPr>
        <w:numPr>
          <w:ilvl w:val="1"/>
          <w:numId w:val="1"/>
        </w:numPr>
        <w:tabs>
          <w:tab w:val="left" w:pos="1418"/>
        </w:tabs>
        <w:ind w:left="0" w:firstLine="851"/>
        <w:contextualSpacing w:val="0"/>
        <w:rPr>
          <w:color w:val="000000"/>
        </w:rPr>
      </w:pPr>
      <w:r>
        <w:rPr>
          <w:color w:val="000000"/>
        </w:rPr>
        <w:t xml:space="preserve">ilgalaikiam materialiajam ir nematerialiajam turtui įsigyti (priemonėms, susijusioms su vykdomomis programomis, veiklomis ar ugdymo sąlygų gerinimu); </w:t>
      </w:r>
    </w:p>
    <w:p w14:paraId="5FDE9479" w14:textId="77777777" w:rsidR="00C00F74" w:rsidRDefault="00C101E5">
      <w:pPr>
        <w:numPr>
          <w:ilvl w:val="1"/>
          <w:numId w:val="1"/>
        </w:numPr>
        <w:tabs>
          <w:tab w:val="left" w:pos="1418"/>
        </w:tabs>
        <w:ind w:left="0" w:firstLine="851"/>
        <w:contextualSpacing w:val="0"/>
        <w:rPr>
          <w:color w:val="000000"/>
        </w:rPr>
      </w:pPr>
      <w:r>
        <w:rPr>
          <w:color w:val="000000"/>
        </w:rPr>
        <w:t xml:space="preserve">darbo užmokesčiui ir socialinio draudimo įmokoms FŠPU mokyklos skiria ne mažiau kaip 40 proc. surinktų FŠPU programoms vykdyti lėšų. </w:t>
      </w:r>
    </w:p>
    <w:p w14:paraId="78F2C051" w14:textId="77777777" w:rsidR="00C00F74" w:rsidRDefault="00C00F74">
      <w:pPr>
        <w:tabs>
          <w:tab w:val="left" w:pos="1134"/>
        </w:tabs>
        <w:ind w:left="851"/>
        <w:contextualSpacing w:val="0"/>
      </w:pPr>
    </w:p>
    <w:p w14:paraId="13C8E5E1" w14:textId="77777777" w:rsidR="00C00F74" w:rsidRDefault="00C101E5">
      <w:pPr>
        <w:tabs>
          <w:tab w:val="left" w:pos="1134"/>
        </w:tabs>
        <w:contextualSpacing w:val="0"/>
        <w:jc w:val="center"/>
        <w:rPr>
          <w:b/>
        </w:rPr>
      </w:pPr>
      <w:r>
        <w:rPr>
          <w:b/>
        </w:rPr>
        <w:t>IV SKYRIUS</w:t>
      </w:r>
    </w:p>
    <w:p w14:paraId="1D27A55C" w14:textId="77777777" w:rsidR="00C00F74" w:rsidRDefault="00C101E5">
      <w:pPr>
        <w:jc w:val="center"/>
        <w:rPr>
          <w:b/>
        </w:rPr>
      </w:pPr>
      <w:r>
        <w:rPr>
          <w:b/>
        </w:rPr>
        <w:t>BAIGIAMOSIOS NUOSTATOS</w:t>
      </w:r>
    </w:p>
    <w:p w14:paraId="14FF6BE1" w14:textId="77777777" w:rsidR="00C00F74" w:rsidRDefault="00C00F74">
      <w:pPr>
        <w:jc w:val="center"/>
        <w:rPr>
          <w:b/>
        </w:rPr>
      </w:pPr>
    </w:p>
    <w:p w14:paraId="25DA45B8" w14:textId="77777777" w:rsidR="00C00F74" w:rsidRPr="008445E3" w:rsidRDefault="00C101E5">
      <w:pPr>
        <w:numPr>
          <w:ilvl w:val="0"/>
          <w:numId w:val="1"/>
        </w:numPr>
        <w:tabs>
          <w:tab w:val="left" w:pos="1276"/>
        </w:tabs>
        <w:ind w:left="0" w:firstLine="851"/>
        <w:contextualSpacing w:val="0"/>
        <w:rPr>
          <w:color w:val="000000"/>
          <w:highlight w:val="yellow"/>
        </w:rPr>
      </w:pPr>
      <w:r w:rsidRPr="008445E3">
        <w:rPr>
          <w:color w:val="000000"/>
          <w:highlight w:val="yellow"/>
        </w:rPr>
        <w:t xml:space="preserve">Jeigu atlyginimas nesumokamas ilgiau kaip vieną mėnesį, mokyklos vadovas, informavęs tėvus (globėjus, rūpintojus) ar pagal neformaliojo švietimo programą besimokantį suaugusį asmenį, turi teisę nutraukti mokymo sutartį joje nustatyta tvarka.  </w:t>
      </w:r>
    </w:p>
    <w:p w14:paraId="41B17969" w14:textId="77777777" w:rsidR="00C00F74" w:rsidRDefault="00C101E5">
      <w:pPr>
        <w:numPr>
          <w:ilvl w:val="0"/>
          <w:numId w:val="1"/>
        </w:numPr>
        <w:tabs>
          <w:tab w:val="left" w:pos="1276"/>
        </w:tabs>
        <w:ind w:left="0" w:firstLine="851"/>
        <w:contextualSpacing w:val="0"/>
        <w:rPr>
          <w:color w:val="000000"/>
        </w:rPr>
      </w:pPr>
      <w:r>
        <w:rPr>
          <w:color w:val="000000"/>
        </w:rPr>
        <w:t xml:space="preserve">Atlyginimo skolos iš tėvų (globėjų, rūpintojų) ar švietimo programą lankančių suaugusių asmenų išieškomos Lietuvos Respublikos teisės aktų nustatyta tvarka.  </w:t>
      </w:r>
    </w:p>
    <w:p w14:paraId="508B9B9E" w14:textId="77777777" w:rsidR="00C00F74" w:rsidRDefault="00C00F74">
      <w:pPr>
        <w:tabs>
          <w:tab w:val="left" w:pos="1276"/>
        </w:tabs>
        <w:contextualSpacing w:val="0"/>
        <w:rPr>
          <w:color w:val="000000"/>
        </w:rPr>
      </w:pPr>
    </w:p>
    <w:p w14:paraId="16DDDA83" w14:textId="77777777" w:rsidR="00C00F74" w:rsidRDefault="00C101E5">
      <w:pPr>
        <w:pStyle w:val="Antrat2"/>
        <w:ind w:right="-1"/>
        <w:jc w:val="center"/>
        <w:rPr>
          <w:color w:val="auto"/>
        </w:rPr>
      </w:pPr>
      <w:r>
        <w:rPr>
          <w:color w:val="auto"/>
        </w:rPr>
        <w:t>___________</w:t>
      </w:r>
      <w:bookmarkStart w:id="1" w:name="_GoBack"/>
      <w:bookmarkEnd w:id="1"/>
      <w:r>
        <w:rPr>
          <w:color w:val="auto"/>
        </w:rPr>
        <w:t>________</w:t>
      </w:r>
    </w:p>
    <w:sectPr w:rsidR="00C00F74">
      <w:headerReference w:type="even" r:id="rId9"/>
      <w:headerReference w:type="default" r:id="rId10"/>
      <w:footerReference w:type="even" r:id="rId11"/>
      <w:footerReference w:type="default" r:id="rId12"/>
      <w:headerReference w:type="first" r:id="rId13"/>
      <w:footerReference w:type="first" r:id="rId14"/>
      <w:pgSz w:w="11906" w:h="16838"/>
      <w:pgMar w:top="1276" w:right="567" w:bottom="709"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578D4" w14:textId="77777777" w:rsidR="00807728" w:rsidRDefault="00807728">
      <w:r>
        <w:separator/>
      </w:r>
    </w:p>
  </w:endnote>
  <w:endnote w:type="continuationSeparator" w:id="0">
    <w:p w14:paraId="0BC51EFB" w14:textId="77777777" w:rsidR="00807728" w:rsidRDefault="0080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Helvetica Neue">
    <w:altName w:val="Arial"/>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E5E1E" w14:textId="77777777" w:rsidR="00C00F74" w:rsidRDefault="00C00F74">
    <w:pPr>
      <w:tabs>
        <w:tab w:val="center" w:pos="4320"/>
        <w:tab w:val="right" w:pos="8640"/>
      </w:tabs>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31D15" w14:textId="77777777" w:rsidR="00C00F74" w:rsidRDefault="00C00F74"/>
  <w:p w14:paraId="045F9E20" w14:textId="77777777" w:rsidR="00C00F74" w:rsidRDefault="00C00F74">
    <w:pPr>
      <w:tabs>
        <w:tab w:val="center" w:pos="4320"/>
        <w:tab w:val="right" w:pos="8640"/>
      </w:tabs>
      <w:rPr>
        <w:rFonts w:ascii="Helvetica Neue" w:eastAsia="Helvetica Neue" w:hAnsi="Helvetica Neue" w:cs="Helvetica Neue"/>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E2262" w14:textId="77777777" w:rsidR="00C00F74" w:rsidRDefault="00C00F74">
    <w:pPr>
      <w:tabs>
        <w:tab w:val="center" w:pos="4320"/>
        <w:tab w:val="right" w:pos="864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9B6AF" w14:textId="77777777" w:rsidR="00807728" w:rsidRDefault="00807728">
      <w:r>
        <w:separator/>
      </w:r>
    </w:p>
  </w:footnote>
  <w:footnote w:type="continuationSeparator" w:id="0">
    <w:p w14:paraId="44E204B0" w14:textId="77777777" w:rsidR="00807728" w:rsidRDefault="00807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B5906" w14:textId="77777777" w:rsidR="00C00F74" w:rsidRDefault="00C00F74">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939BB" w14:textId="77777777" w:rsidR="00C00F74" w:rsidRDefault="00C101E5">
    <w:pPr>
      <w:tabs>
        <w:tab w:val="center" w:pos="4320"/>
        <w:tab w:val="right" w:pos="8640"/>
      </w:tabs>
      <w:jc w:val="center"/>
    </w:pPr>
    <w:r>
      <w:fldChar w:fldCharType="begin"/>
    </w:r>
    <w:r>
      <w:instrText xml:space="preserve"> PAGE </w:instrText>
    </w:r>
    <w:r>
      <w:fldChar w:fldCharType="separate"/>
    </w:r>
    <w:r>
      <w:t>6</w:t>
    </w:r>
    <w:r>
      <w:fldChar w:fldCharType="end"/>
    </w:r>
  </w:p>
  <w:p w14:paraId="303894EC" w14:textId="77777777" w:rsidR="00C00F74" w:rsidRDefault="00C00F74">
    <w:pP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CD57E" w14:textId="77777777" w:rsidR="00C00F74" w:rsidRDefault="00C00F7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A6ED3"/>
    <w:multiLevelType w:val="multilevel"/>
    <w:tmpl w:val="D40448EE"/>
    <w:lvl w:ilvl="0">
      <w:start w:val="1"/>
      <w:numFmt w:val="decimal"/>
      <w:lvlText w:val="%1."/>
      <w:lvlJc w:val="left"/>
      <w:pPr>
        <w:tabs>
          <w:tab w:val="num" w:pos="0"/>
        </w:tabs>
        <w:ind w:left="360" w:hanging="360"/>
      </w:pPr>
      <w:rPr>
        <w:b w:val="0"/>
        <w:i w:val="0"/>
        <w:strike w:val="0"/>
        <w:dstrike w:val="0"/>
        <w:color w:val="000000"/>
        <w:position w:val="0"/>
        <w:sz w:val="24"/>
        <w:szCs w:val="24"/>
        <w:u w:val="none" w:color="000000"/>
        <w:shd w:val="clear" w:color="auto" w:fill="auto"/>
        <w:vertAlign w:val="baseline"/>
      </w:rPr>
    </w:lvl>
    <w:lvl w:ilvl="1">
      <w:start w:val="1"/>
      <w:numFmt w:val="decimal"/>
      <w:lvlText w:val="%1.%2."/>
      <w:lvlJc w:val="left"/>
      <w:pPr>
        <w:tabs>
          <w:tab w:val="num" w:pos="0"/>
        </w:tabs>
        <w:ind w:left="792" w:hanging="432"/>
      </w:pPr>
      <w:rPr>
        <w:b w:val="0"/>
        <w:i w:val="0"/>
        <w:strike w:val="0"/>
        <w:dstrike w:val="0"/>
        <w:color w:val="000000"/>
        <w:position w:val="0"/>
        <w:sz w:val="24"/>
        <w:szCs w:val="24"/>
        <w:u w:val="none" w:color="000000"/>
        <w:shd w:val="clear" w:color="auto" w:fill="auto"/>
        <w:vertAlign w:val="baseline"/>
      </w:rPr>
    </w:lvl>
    <w:lvl w:ilvl="2">
      <w:start w:val="1"/>
      <w:numFmt w:val="decimal"/>
      <w:lvlText w:val="%1.%2.%3."/>
      <w:lvlJc w:val="left"/>
      <w:pPr>
        <w:tabs>
          <w:tab w:val="num" w:pos="0"/>
        </w:tabs>
        <w:ind w:left="1224" w:hanging="504"/>
      </w:pPr>
      <w:rPr>
        <w:b w:val="0"/>
        <w:i w:val="0"/>
        <w:strike w:val="0"/>
        <w:dstrike w:val="0"/>
        <w:color w:val="000000"/>
        <w:position w:val="0"/>
        <w:sz w:val="24"/>
        <w:szCs w:val="24"/>
        <w:u w:val="none" w:color="000000"/>
        <w:shd w:val="clear" w:color="auto" w:fill="auto"/>
        <w:vertAlign w:val="baseline"/>
      </w:rPr>
    </w:lvl>
    <w:lvl w:ilvl="3">
      <w:start w:val="1"/>
      <w:numFmt w:val="decimal"/>
      <w:lvlText w:val="%1.%2.%3.%4."/>
      <w:lvlJc w:val="left"/>
      <w:pPr>
        <w:tabs>
          <w:tab w:val="num" w:pos="0"/>
        </w:tabs>
        <w:ind w:left="1728" w:hanging="647"/>
      </w:pPr>
      <w:rPr>
        <w:b w:val="0"/>
        <w:i w:val="0"/>
        <w:strike w:val="0"/>
        <w:dstrike w:val="0"/>
        <w:color w:val="000000"/>
        <w:position w:val="0"/>
        <w:sz w:val="24"/>
        <w:szCs w:val="24"/>
        <w:u w:val="none" w:color="000000"/>
        <w:shd w:val="clear" w:color="auto" w:fill="auto"/>
        <w:vertAlign w:val="baseline"/>
      </w:rPr>
    </w:lvl>
    <w:lvl w:ilvl="4">
      <w:start w:val="1"/>
      <w:numFmt w:val="decimal"/>
      <w:lvlText w:val="%1.%2.%3.%4.%5."/>
      <w:lvlJc w:val="left"/>
      <w:pPr>
        <w:tabs>
          <w:tab w:val="num" w:pos="0"/>
        </w:tabs>
        <w:ind w:left="2232" w:hanging="792"/>
      </w:pPr>
      <w:rPr>
        <w:b w:val="0"/>
        <w:i w:val="0"/>
        <w:strike w:val="0"/>
        <w:dstrike w:val="0"/>
        <w:color w:val="000000"/>
        <w:position w:val="0"/>
        <w:sz w:val="24"/>
        <w:szCs w:val="24"/>
        <w:u w:val="none" w:color="000000"/>
        <w:shd w:val="clear" w:color="auto" w:fill="auto"/>
        <w:vertAlign w:val="baseline"/>
      </w:rPr>
    </w:lvl>
    <w:lvl w:ilvl="5">
      <w:start w:val="1"/>
      <w:numFmt w:val="decimal"/>
      <w:lvlText w:val="%1.%2.%3.%4.%5.%6."/>
      <w:lvlJc w:val="left"/>
      <w:pPr>
        <w:tabs>
          <w:tab w:val="num" w:pos="0"/>
        </w:tabs>
        <w:ind w:left="2736" w:hanging="935"/>
      </w:pPr>
      <w:rPr>
        <w:b w:val="0"/>
        <w:i w:val="0"/>
        <w:strike w:val="0"/>
        <w:dstrike w:val="0"/>
        <w:color w:val="000000"/>
        <w:position w:val="0"/>
        <w:sz w:val="24"/>
        <w:szCs w:val="24"/>
        <w:u w:val="none" w:color="000000"/>
        <w:shd w:val="clear" w:color="auto" w:fill="auto"/>
        <w:vertAlign w:val="baseline"/>
      </w:rPr>
    </w:lvl>
    <w:lvl w:ilvl="6">
      <w:start w:val="1"/>
      <w:numFmt w:val="decimal"/>
      <w:lvlText w:val="%1.%2.%3.%4.%5.%6.%7."/>
      <w:lvlJc w:val="left"/>
      <w:pPr>
        <w:tabs>
          <w:tab w:val="num" w:pos="0"/>
        </w:tabs>
        <w:ind w:left="3240" w:hanging="1080"/>
      </w:pPr>
      <w:rPr>
        <w:b w:val="0"/>
        <w:i w:val="0"/>
        <w:strike w:val="0"/>
        <w:dstrike w:val="0"/>
        <w:color w:val="000000"/>
        <w:position w:val="0"/>
        <w:sz w:val="24"/>
        <w:szCs w:val="24"/>
        <w:u w:val="none" w:color="000000"/>
        <w:shd w:val="clear" w:color="auto" w:fill="auto"/>
        <w:vertAlign w:val="baseline"/>
      </w:rPr>
    </w:lvl>
    <w:lvl w:ilvl="7">
      <w:start w:val="1"/>
      <w:numFmt w:val="decimal"/>
      <w:lvlText w:val="%1.%2.%3.%4.%5.%6.%7.%8."/>
      <w:lvlJc w:val="left"/>
      <w:pPr>
        <w:tabs>
          <w:tab w:val="num" w:pos="0"/>
        </w:tabs>
        <w:ind w:left="3744" w:hanging="1224"/>
      </w:pPr>
      <w:rPr>
        <w:b w:val="0"/>
        <w:i w:val="0"/>
        <w:strike w:val="0"/>
        <w:dstrike w:val="0"/>
        <w:color w:val="000000"/>
        <w:position w:val="0"/>
        <w:sz w:val="24"/>
        <w:szCs w:val="24"/>
        <w:u w:val="none" w:color="000000"/>
        <w:shd w:val="clear" w:color="auto" w:fill="auto"/>
        <w:vertAlign w:val="baseline"/>
      </w:rPr>
    </w:lvl>
    <w:lvl w:ilvl="8">
      <w:start w:val="1"/>
      <w:numFmt w:val="decimal"/>
      <w:lvlText w:val="%1.%2.%3.%4.%5.%6.%7.%8.%9."/>
      <w:lvlJc w:val="left"/>
      <w:pPr>
        <w:tabs>
          <w:tab w:val="num" w:pos="0"/>
        </w:tabs>
        <w:ind w:left="4320" w:hanging="1440"/>
      </w:pPr>
      <w:rPr>
        <w:b w:val="0"/>
        <w:i w:val="0"/>
        <w:strike w:val="0"/>
        <w:dstrike w:val="0"/>
        <w:color w:val="000000"/>
        <w:position w:val="0"/>
        <w:sz w:val="24"/>
        <w:szCs w:val="24"/>
        <w:u w:val="none" w:color="000000"/>
        <w:shd w:val="clear" w:color="auto" w:fill="auto"/>
        <w:vertAlign w:val="baseline"/>
      </w:rPr>
    </w:lvl>
  </w:abstractNum>
  <w:abstractNum w:abstractNumId="1" w15:restartNumberingAfterBreak="0">
    <w:nsid w:val="2CDD611B"/>
    <w:multiLevelType w:val="multilevel"/>
    <w:tmpl w:val="0427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4A2710E6"/>
    <w:multiLevelType w:val="multilevel"/>
    <w:tmpl w:val="126E45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F74"/>
    <w:rsid w:val="00424909"/>
    <w:rsid w:val="00560E4D"/>
    <w:rsid w:val="00807728"/>
    <w:rsid w:val="008445E3"/>
    <w:rsid w:val="009D1254"/>
    <w:rsid w:val="00A96DA7"/>
    <w:rsid w:val="00AF57EE"/>
    <w:rsid w:val="00C00F74"/>
    <w:rsid w:val="00C101E5"/>
    <w:rsid w:val="00D94B17"/>
    <w:rsid w:val="00E12BB0"/>
    <w:rsid w:val="00E50C61"/>
    <w:rsid w:val="00E841F1"/>
    <w:rsid w:val="00F02071"/>
    <w:rsid w:val="00F9742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D1AD6"/>
  <w15:docId w15:val="{76F2BC3F-F9C8-4412-A312-EC4D75164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23F75"/>
    <w:pPr>
      <w:contextualSpacing/>
      <w:jc w:val="both"/>
    </w:pPr>
    <w:rPr>
      <w:rFonts w:ascii="Times New Roman" w:hAnsi="Times New Roman"/>
      <w:sz w:val="24"/>
    </w:rPr>
  </w:style>
  <w:style w:type="paragraph" w:styleId="Antrat1">
    <w:name w:val="heading 1"/>
    <w:basedOn w:val="prastasis"/>
    <w:next w:val="prastasis"/>
    <w:link w:val="Antrat1Diagrama"/>
    <w:uiPriority w:val="9"/>
    <w:qFormat/>
    <w:rsid w:val="007868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7868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8683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8683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8683E"/>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78683E"/>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8683E"/>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8683E"/>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8683E"/>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78683E"/>
    <w:rPr>
      <w:rFonts w:asciiTheme="majorHAnsi" w:eastAsiaTheme="majorEastAsia" w:hAnsiTheme="majorHAnsi" w:cstheme="majorBidi"/>
      <w:color w:val="2F5496" w:themeColor="accent1" w:themeShade="BF"/>
      <w:sz w:val="40"/>
      <w:szCs w:val="40"/>
      <w:lang w:val="en-US"/>
    </w:rPr>
  </w:style>
  <w:style w:type="character" w:customStyle="1" w:styleId="Antrat2Diagrama">
    <w:name w:val="Antraštė 2 Diagrama"/>
    <w:basedOn w:val="Numatytasispastraiposriftas"/>
    <w:link w:val="Antrat2"/>
    <w:uiPriority w:val="9"/>
    <w:qFormat/>
    <w:rsid w:val="0078683E"/>
    <w:rPr>
      <w:rFonts w:asciiTheme="majorHAnsi" w:eastAsiaTheme="majorEastAsia" w:hAnsiTheme="majorHAnsi" w:cstheme="majorBidi"/>
      <w:color w:val="2F5496" w:themeColor="accent1" w:themeShade="BF"/>
      <w:sz w:val="32"/>
      <w:szCs w:val="32"/>
      <w:lang w:val="en-US"/>
    </w:rPr>
  </w:style>
  <w:style w:type="character" w:customStyle="1" w:styleId="Antrat3Diagrama">
    <w:name w:val="Antraštė 3 Diagrama"/>
    <w:basedOn w:val="Numatytasispastraiposriftas"/>
    <w:link w:val="Antrat3"/>
    <w:uiPriority w:val="9"/>
    <w:semiHidden/>
    <w:qFormat/>
    <w:rsid w:val="0078683E"/>
    <w:rPr>
      <w:rFonts w:eastAsiaTheme="majorEastAsia" w:cstheme="majorBidi"/>
      <w:color w:val="2F5496" w:themeColor="accent1" w:themeShade="BF"/>
      <w:sz w:val="28"/>
      <w:szCs w:val="28"/>
      <w:lang w:val="en-US"/>
    </w:rPr>
  </w:style>
  <w:style w:type="character" w:customStyle="1" w:styleId="Antrat4Diagrama">
    <w:name w:val="Antraštė 4 Diagrama"/>
    <w:basedOn w:val="Numatytasispastraiposriftas"/>
    <w:link w:val="Antrat4"/>
    <w:uiPriority w:val="9"/>
    <w:semiHidden/>
    <w:qFormat/>
    <w:rsid w:val="0078683E"/>
    <w:rPr>
      <w:rFonts w:eastAsiaTheme="majorEastAsia" w:cstheme="majorBidi"/>
      <w:i/>
      <w:iCs/>
      <w:color w:val="2F5496" w:themeColor="accent1" w:themeShade="BF"/>
      <w:sz w:val="24"/>
      <w:lang w:val="en-US"/>
    </w:rPr>
  </w:style>
  <w:style w:type="character" w:customStyle="1" w:styleId="Antrat5Diagrama">
    <w:name w:val="Antraštė 5 Diagrama"/>
    <w:basedOn w:val="Numatytasispastraiposriftas"/>
    <w:link w:val="Antrat5"/>
    <w:uiPriority w:val="9"/>
    <w:semiHidden/>
    <w:qFormat/>
    <w:rsid w:val="0078683E"/>
    <w:rPr>
      <w:rFonts w:eastAsiaTheme="majorEastAsia" w:cstheme="majorBidi"/>
      <w:color w:val="2F5496" w:themeColor="accent1" w:themeShade="BF"/>
      <w:sz w:val="24"/>
      <w:lang w:val="en-US"/>
    </w:rPr>
  </w:style>
  <w:style w:type="character" w:customStyle="1" w:styleId="Antrat6Diagrama">
    <w:name w:val="Antraštė 6 Diagrama"/>
    <w:basedOn w:val="Numatytasispastraiposriftas"/>
    <w:link w:val="Antrat6"/>
    <w:uiPriority w:val="9"/>
    <w:semiHidden/>
    <w:qFormat/>
    <w:rsid w:val="0078683E"/>
    <w:rPr>
      <w:rFonts w:eastAsiaTheme="majorEastAsia" w:cstheme="majorBidi"/>
      <w:i/>
      <w:iCs/>
      <w:color w:val="595959" w:themeColor="text1" w:themeTint="A6"/>
      <w:sz w:val="24"/>
      <w:lang w:val="en-US"/>
    </w:rPr>
  </w:style>
  <w:style w:type="character" w:customStyle="1" w:styleId="Antrat7Diagrama">
    <w:name w:val="Antraštė 7 Diagrama"/>
    <w:basedOn w:val="Numatytasispastraiposriftas"/>
    <w:link w:val="Antrat7"/>
    <w:uiPriority w:val="9"/>
    <w:semiHidden/>
    <w:qFormat/>
    <w:rsid w:val="0078683E"/>
    <w:rPr>
      <w:rFonts w:eastAsiaTheme="majorEastAsia" w:cstheme="majorBidi"/>
      <w:color w:val="595959" w:themeColor="text1" w:themeTint="A6"/>
      <w:sz w:val="24"/>
      <w:lang w:val="en-US"/>
    </w:rPr>
  </w:style>
  <w:style w:type="character" w:customStyle="1" w:styleId="Antrat8Diagrama">
    <w:name w:val="Antraštė 8 Diagrama"/>
    <w:basedOn w:val="Numatytasispastraiposriftas"/>
    <w:link w:val="Antrat8"/>
    <w:uiPriority w:val="9"/>
    <w:semiHidden/>
    <w:qFormat/>
    <w:rsid w:val="0078683E"/>
    <w:rPr>
      <w:rFonts w:eastAsiaTheme="majorEastAsia" w:cstheme="majorBidi"/>
      <w:i/>
      <w:iCs/>
      <w:color w:val="272727" w:themeColor="text1" w:themeTint="D8"/>
      <w:sz w:val="24"/>
      <w:lang w:val="en-US"/>
    </w:rPr>
  </w:style>
  <w:style w:type="character" w:customStyle="1" w:styleId="Antrat9Diagrama">
    <w:name w:val="Antraštė 9 Diagrama"/>
    <w:basedOn w:val="Numatytasispastraiposriftas"/>
    <w:link w:val="Antrat9"/>
    <w:uiPriority w:val="9"/>
    <w:semiHidden/>
    <w:qFormat/>
    <w:rsid w:val="0078683E"/>
    <w:rPr>
      <w:rFonts w:eastAsiaTheme="majorEastAsia" w:cstheme="majorBidi"/>
      <w:color w:val="272727" w:themeColor="text1" w:themeTint="D8"/>
      <w:sz w:val="24"/>
      <w:lang w:val="en-US"/>
    </w:rPr>
  </w:style>
  <w:style w:type="character" w:customStyle="1" w:styleId="PavadinimasDiagrama">
    <w:name w:val="Pavadinimas Diagrama"/>
    <w:basedOn w:val="Numatytasispastraiposriftas"/>
    <w:link w:val="Pavadinimas"/>
    <w:uiPriority w:val="10"/>
    <w:qFormat/>
    <w:rsid w:val="0078683E"/>
    <w:rPr>
      <w:rFonts w:asciiTheme="majorHAnsi" w:eastAsiaTheme="majorEastAsia" w:hAnsiTheme="majorHAnsi" w:cstheme="majorBidi"/>
      <w:spacing w:val="-10"/>
      <w:kern w:val="2"/>
      <w:sz w:val="56"/>
      <w:szCs w:val="56"/>
      <w:lang w:val="en-US"/>
    </w:rPr>
  </w:style>
  <w:style w:type="character" w:customStyle="1" w:styleId="PaantratDiagrama">
    <w:name w:val="Paantraštė Diagrama"/>
    <w:basedOn w:val="Numatytasispastraiposriftas"/>
    <w:link w:val="Paantrat"/>
    <w:uiPriority w:val="11"/>
    <w:qFormat/>
    <w:rsid w:val="0078683E"/>
    <w:rPr>
      <w:rFonts w:eastAsiaTheme="majorEastAsia" w:cstheme="majorBidi"/>
      <w:color w:val="595959" w:themeColor="text1" w:themeTint="A6"/>
      <w:spacing w:val="15"/>
      <w:sz w:val="28"/>
      <w:szCs w:val="28"/>
      <w:lang w:val="en-US"/>
    </w:rPr>
  </w:style>
  <w:style w:type="character" w:customStyle="1" w:styleId="CitataDiagrama">
    <w:name w:val="Citata Diagrama"/>
    <w:basedOn w:val="Numatytasispastraiposriftas"/>
    <w:link w:val="Citata"/>
    <w:uiPriority w:val="29"/>
    <w:qFormat/>
    <w:rsid w:val="0078683E"/>
    <w:rPr>
      <w:rFonts w:ascii="Times New Roman" w:hAnsi="Times New Roman"/>
      <w:i/>
      <w:iCs/>
      <w:color w:val="404040" w:themeColor="text1" w:themeTint="BF"/>
      <w:sz w:val="24"/>
      <w:lang w:val="en-US"/>
    </w:rPr>
  </w:style>
  <w:style w:type="character" w:styleId="Rykuspabraukimas">
    <w:name w:val="Intense Emphasis"/>
    <w:basedOn w:val="Numatytasispastraiposriftas"/>
    <w:uiPriority w:val="21"/>
    <w:qFormat/>
    <w:rsid w:val="0078683E"/>
    <w:rPr>
      <w:i/>
      <w:iCs/>
      <w:color w:val="2F5496" w:themeColor="accent1" w:themeShade="BF"/>
    </w:rPr>
  </w:style>
  <w:style w:type="character" w:customStyle="1" w:styleId="IskirtacitataDiagrama">
    <w:name w:val="Išskirta citata Diagrama"/>
    <w:basedOn w:val="Numatytasispastraiposriftas"/>
    <w:link w:val="Iskirtacitata"/>
    <w:uiPriority w:val="30"/>
    <w:qFormat/>
    <w:rsid w:val="0078683E"/>
    <w:rPr>
      <w:rFonts w:ascii="Times New Roman" w:hAnsi="Times New Roman"/>
      <w:i/>
      <w:iCs/>
      <w:color w:val="2F5496" w:themeColor="accent1" w:themeShade="BF"/>
      <w:sz w:val="24"/>
      <w:lang w:val="en-US"/>
    </w:rPr>
  </w:style>
  <w:style w:type="character" w:styleId="Rykinuoroda">
    <w:name w:val="Intense Reference"/>
    <w:basedOn w:val="Numatytasispastraiposriftas"/>
    <w:uiPriority w:val="32"/>
    <w:qFormat/>
    <w:rsid w:val="0078683E"/>
    <w:rPr>
      <w:b/>
      <w:bCs/>
      <w:smallCaps/>
      <w:color w:val="2F5496" w:themeColor="accent1" w:themeShade="BF"/>
      <w:spacing w:val="5"/>
    </w:rPr>
  </w:style>
  <w:style w:type="character" w:customStyle="1" w:styleId="Style3">
    <w:name w:val="Style3"/>
    <w:uiPriority w:val="99"/>
    <w:qFormat/>
    <w:rsid w:val="00130F81"/>
    <w:rPr>
      <w:rFonts w:ascii="Times New Roman" w:hAnsi="Times New Roman"/>
      <w:sz w:val="24"/>
    </w:rPr>
  </w:style>
  <w:style w:type="character" w:customStyle="1" w:styleId="PuslapioinaostekstasDiagrama">
    <w:name w:val="Puslapio išnašos tekstas Diagrama"/>
    <w:basedOn w:val="Numatytasispastraiposriftas"/>
    <w:link w:val="Puslapioinaostekstas"/>
    <w:uiPriority w:val="99"/>
    <w:semiHidden/>
    <w:qFormat/>
    <w:rsid w:val="0080749B"/>
    <w:rPr>
      <w:rFonts w:ascii="Times New Roman" w:hAnsi="Times New Roman"/>
      <w:sz w:val="20"/>
      <w:szCs w:val="20"/>
    </w:rPr>
  </w:style>
  <w:style w:type="character" w:customStyle="1" w:styleId="FootnoteCharacters">
    <w:name w:val="Footnote Characters"/>
    <w:basedOn w:val="Numatytasispastraiposriftas"/>
    <w:uiPriority w:val="99"/>
    <w:semiHidden/>
    <w:unhideWhenUsed/>
    <w:qFormat/>
    <w:rsid w:val="0080749B"/>
    <w:rPr>
      <w:vertAlign w:val="superscript"/>
    </w:rPr>
  </w:style>
  <w:style w:type="character" w:styleId="Puslapioinaosnuoroda">
    <w:name w:val="footnote reference"/>
    <w:rPr>
      <w:vertAlign w:val="superscript"/>
    </w:rPr>
  </w:style>
  <w:style w:type="character" w:styleId="Hipersaitas">
    <w:name w:val="Hyperlink"/>
    <w:basedOn w:val="Numatytasispastraiposriftas"/>
    <w:uiPriority w:val="99"/>
    <w:unhideWhenUsed/>
    <w:rsid w:val="0080749B"/>
    <w:rPr>
      <w:color w:val="0563C1" w:themeColor="hyperlink"/>
      <w:u w:val="single"/>
    </w:rPr>
  </w:style>
  <w:style w:type="character" w:styleId="Neapdorotaspaminjimas">
    <w:name w:val="Unresolved Mention"/>
    <w:basedOn w:val="Numatytasispastraiposriftas"/>
    <w:uiPriority w:val="99"/>
    <w:semiHidden/>
    <w:unhideWhenUsed/>
    <w:qFormat/>
    <w:rsid w:val="0080749B"/>
    <w:rPr>
      <w:color w:val="605E5C"/>
      <w:shd w:val="clear" w:color="auto" w:fill="E1DFDD"/>
    </w:rPr>
  </w:style>
  <w:style w:type="character" w:customStyle="1" w:styleId="KomentarotekstasDiagrama">
    <w:name w:val="Komentaro tekstas Diagrama"/>
    <w:basedOn w:val="Numatytasispastraiposriftas"/>
    <w:link w:val="Komentarotekstas"/>
    <w:uiPriority w:val="99"/>
    <w:semiHidden/>
    <w:qFormat/>
    <w:rsid w:val="00BB66E2"/>
    <w:rPr>
      <w:rFonts w:ascii="Times New Roman" w:eastAsia="Times New Roman" w:hAnsi="Times New Roman" w:cs="Times New Roman"/>
      <w:kern w:val="0"/>
      <w:sz w:val="20"/>
      <w:szCs w:val="20"/>
      <w:lang w:eastAsia="lt-LT"/>
      <w14:ligatures w14:val="none"/>
    </w:rPr>
  </w:style>
  <w:style w:type="character" w:styleId="Komentaronuoroda">
    <w:name w:val="annotation reference"/>
    <w:basedOn w:val="Numatytasispastraiposriftas"/>
    <w:uiPriority w:val="99"/>
    <w:semiHidden/>
    <w:unhideWhenUsed/>
    <w:qFormat/>
    <w:rsid w:val="00BB66E2"/>
    <w:rPr>
      <w:sz w:val="16"/>
      <w:szCs w:val="16"/>
    </w:rPr>
  </w:style>
  <w:style w:type="paragraph" w:customStyle="1" w:styleId="Heading">
    <w:name w:val="Heading"/>
    <w:basedOn w:val="prastasis"/>
    <w:next w:val="Pagrindinistekstas"/>
    <w:qFormat/>
    <w:pPr>
      <w:keepNext/>
      <w:spacing w:before="240" w:after="120"/>
      <w:contextualSpacing w:val="0"/>
    </w:pPr>
    <w:rPr>
      <w:rFonts w:ascii="Liberation Sans" w:eastAsia="DejaVu Sans" w:hAnsi="Liberation Sans" w:cs="Droid Sans Devanagari"/>
      <w:sz w:val="28"/>
      <w:szCs w:val="28"/>
    </w:rPr>
  </w:style>
  <w:style w:type="paragraph" w:styleId="Pagrindinistekstas">
    <w:name w:val="Body Text"/>
    <w:basedOn w:val="prastasis"/>
    <w:pPr>
      <w:spacing w:after="140" w:line="276" w:lineRule="auto"/>
      <w:contextualSpacing w:val="0"/>
    </w:p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contextualSpacing w:val="0"/>
    </w:pPr>
    <w:rPr>
      <w:rFonts w:cs="Droid Sans Devanagari"/>
      <w:i/>
      <w:iCs/>
      <w:szCs w:val="24"/>
    </w:rPr>
  </w:style>
  <w:style w:type="paragraph" w:customStyle="1" w:styleId="Index">
    <w:name w:val="Index"/>
    <w:basedOn w:val="prastasis"/>
    <w:qFormat/>
    <w:pPr>
      <w:suppressLineNumbers/>
    </w:pPr>
    <w:rPr>
      <w:rFonts w:cs="Droid Sans Devanagari"/>
    </w:rPr>
  </w:style>
  <w:style w:type="paragraph" w:styleId="Pavadinimas">
    <w:name w:val="Title"/>
    <w:basedOn w:val="prastasis"/>
    <w:next w:val="prastasis"/>
    <w:link w:val="PavadinimasDiagrama"/>
    <w:uiPriority w:val="10"/>
    <w:qFormat/>
    <w:rsid w:val="0078683E"/>
    <w:pPr>
      <w:spacing w:after="80"/>
    </w:pPr>
    <w:rPr>
      <w:rFonts w:asciiTheme="majorHAnsi" w:eastAsiaTheme="majorEastAsia" w:hAnsiTheme="majorHAnsi" w:cstheme="majorBidi"/>
      <w:spacing w:val="-10"/>
      <w:sz w:val="56"/>
      <w:szCs w:val="56"/>
    </w:rPr>
  </w:style>
  <w:style w:type="paragraph" w:styleId="Paantrat">
    <w:name w:val="Subtitle"/>
    <w:basedOn w:val="prastasis"/>
    <w:next w:val="prastasis"/>
    <w:link w:val="PaantratDiagrama"/>
    <w:uiPriority w:val="11"/>
    <w:qFormat/>
    <w:rsid w:val="0078683E"/>
    <w:pPr>
      <w:spacing w:after="160"/>
    </w:pPr>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8683E"/>
    <w:pPr>
      <w:spacing w:before="160" w:after="160"/>
      <w:jc w:val="center"/>
    </w:pPr>
    <w:rPr>
      <w:i/>
      <w:iCs/>
      <w:color w:val="404040" w:themeColor="text1" w:themeTint="BF"/>
    </w:rPr>
  </w:style>
  <w:style w:type="paragraph" w:styleId="Sraopastraipa">
    <w:name w:val="List Paragraph"/>
    <w:basedOn w:val="prastasis"/>
    <w:uiPriority w:val="34"/>
    <w:qFormat/>
    <w:rsid w:val="0078683E"/>
    <w:pPr>
      <w:ind w:left="720"/>
    </w:pPr>
  </w:style>
  <w:style w:type="paragraph" w:styleId="Iskirtacitata">
    <w:name w:val="Intense Quote"/>
    <w:basedOn w:val="prastasis"/>
    <w:next w:val="prastasis"/>
    <w:link w:val="IskirtacitataDiagrama"/>
    <w:uiPriority w:val="30"/>
    <w:qFormat/>
    <w:rsid w:val="007868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styleId="Puslapioinaostekstas">
    <w:name w:val="footnote text"/>
    <w:basedOn w:val="prastasis"/>
    <w:link w:val="PuslapioinaostekstasDiagrama"/>
    <w:uiPriority w:val="99"/>
    <w:semiHidden/>
    <w:unhideWhenUsed/>
    <w:rsid w:val="0080749B"/>
    <w:rPr>
      <w:sz w:val="20"/>
      <w:szCs w:val="20"/>
    </w:rPr>
  </w:style>
  <w:style w:type="paragraph" w:styleId="Pataisymai">
    <w:name w:val="Revision"/>
    <w:uiPriority w:val="99"/>
    <w:semiHidden/>
    <w:qFormat/>
    <w:rsid w:val="00EC0C86"/>
    <w:rPr>
      <w:rFonts w:ascii="Times New Roman" w:hAnsi="Times New Roman"/>
      <w:sz w:val="24"/>
    </w:rPr>
  </w:style>
  <w:style w:type="paragraph" w:styleId="Komentarotekstas">
    <w:name w:val="annotation text"/>
    <w:basedOn w:val="prastasis"/>
    <w:link w:val="KomentarotekstasDiagrama"/>
    <w:uiPriority w:val="99"/>
    <w:semiHidden/>
    <w:unhideWhenUsed/>
    <w:qFormat/>
    <w:rsid w:val="00BB66E2"/>
    <w:pPr>
      <w:ind w:firstLine="851"/>
      <w:contextualSpacing w:val="0"/>
    </w:pPr>
    <w:rPr>
      <w:rFonts w:eastAsia="Times New Roman" w:cs="Times New Roman"/>
      <w:kern w:val="0"/>
      <w:sz w:val="20"/>
      <w:szCs w:val="20"/>
      <w:lang w:eastAsia="lt-LT"/>
      <w14:ligatures w14:val="none"/>
    </w:rPr>
  </w:style>
  <w:style w:type="paragraph" w:customStyle="1" w:styleId="HeaderandFooter">
    <w:name w:val="Header and Footer"/>
    <w:basedOn w:val="prastasis"/>
    <w:qFormat/>
  </w:style>
  <w:style w:type="paragraph" w:styleId="Antrats">
    <w:name w:val="header"/>
    <w:basedOn w:val="HeaderandFooter"/>
  </w:style>
  <w:style w:type="paragraph" w:styleId="Porat">
    <w:name w:val="footer"/>
    <w:basedOn w:val="HeaderandFooter"/>
  </w:style>
  <w:style w:type="table" w:styleId="Lentelstinklelis">
    <w:name w:val="Table Grid"/>
    <w:basedOn w:val="prastojilentel"/>
    <w:uiPriority w:val="39"/>
    <w:rsid w:val="00E07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B9CF2-683A-4490-AB2E-83DB09ECB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8461</Words>
  <Characters>4823</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Vartotojas</cp:lastModifiedBy>
  <cp:revision>4</cp:revision>
  <dcterms:created xsi:type="dcterms:W3CDTF">2025-05-29T12:41:00Z</dcterms:created>
  <dcterms:modified xsi:type="dcterms:W3CDTF">2025-05-29T13:20:00Z</dcterms:modified>
  <dc:language>en-US</dc:language>
</cp:coreProperties>
</file>